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F3" w:rsidRDefault="00590EF3" w:rsidP="00451666">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К обсуждению вопросов, связанных</w:t>
      </w:r>
      <w:r w:rsidRPr="00590EF3">
        <w:rPr>
          <w:rFonts w:ascii="Times New Roman" w:hAnsi="Times New Roman" w:cs="Times New Roman"/>
          <w:b/>
          <w:i/>
          <w:sz w:val="28"/>
          <w:szCs w:val="28"/>
        </w:rPr>
        <w:t xml:space="preserve"> с определением формы </w:t>
      </w:r>
    </w:p>
    <w:p w:rsidR="00FA1C28" w:rsidRPr="00BE56D6" w:rsidRDefault="00590EF3" w:rsidP="00451666">
      <w:pPr>
        <w:spacing w:after="0" w:line="360" w:lineRule="auto"/>
        <w:jc w:val="center"/>
        <w:rPr>
          <w:rFonts w:ascii="Times New Roman" w:hAnsi="Times New Roman" w:cs="Times New Roman"/>
          <w:b/>
          <w:i/>
          <w:sz w:val="28"/>
          <w:szCs w:val="28"/>
        </w:rPr>
      </w:pPr>
      <w:r w:rsidRPr="00590EF3">
        <w:rPr>
          <w:rFonts w:ascii="Times New Roman" w:hAnsi="Times New Roman" w:cs="Times New Roman"/>
          <w:b/>
          <w:i/>
          <w:sz w:val="28"/>
          <w:szCs w:val="28"/>
        </w:rPr>
        <w:t>в составе объемных товарных знаков</w:t>
      </w:r>
    </w:p>
    <w:p w:rsidR="001570FD" w:rsidRPr="00BE56D6" w:rsidRDefault="00FA1C28" w:rsidP="00451666">
      <w:pPr>
        <w:spacing w:after="0" w:line="360" w:lineRule="auto"/>
        <w:ind w:firstLine="708"/>
        <w:jc w:val="both"/>
        <w:rPr>
          <w:rFonts w:ascii="Times New Roman" w:hAnsi="Times New Roman" w:cs="Times New Roman"/>
          <w:sz w:val="28"/>
          <w:szCs w:val="28"/>
        </w:rPr>
      </w:pPr>
      <w:r w:rsidRPr="00BE56D6">
        <w:rPr>
          <w:rFonts w:ascii="Times New Roman" w:hAnsi="Times New Roman" w:cs="Times New Roman"/>
          <w:sz w:val="28"/>
          <w:szCs w:val="28"/>
        </w:rPr>
        <w:t xml:space="preserve">Когда облик изделия </w:t>
      </w:r>
      <w:r w:rsidR="006178C8" w:rsidRPr="00BE56D6">
        <w:rPr>
          <w:rFonts w:ascii="Times New Roman" w:hAnsi="Times New Roman" w:cs="Times New Roman"/>
          <w:sz w:val="28"/>
          <w:szCs w:val="28"/>
        </w:rPr>
        <w:t>выполняет</w:t>
      </w:r>
      <w:r w:rsidR="00152FC6" w:rsidRPr="00BE56D6">
        <w:rPr>
          <w:rFonts w:ascii="Times New Roman" w:hAnsi="Times New Roman" w:cs="Times New Roman"/>
          <w:sz w:val="28"/>
          <w:szCs w:val="28"/>
        </w:rPr>
        <w:t xml:space="preserve"> </w:t>
      </w:r>
      <w:r w:rsidRPr="00BE56D6">
        <w:rPr>
          <w:rFonts w:ascii="Times New Roman" w:hAnsi="Times New Roman" w:cs="Times New Roman"/>
          <w:sz w:val="28"/>
          <w:szCs w:val="28"/>
        </w:rPr>
        <w:t xml:space="preserve">индивидуализирующую функцию, </w:t>
      </w:r>
      <w:r w:rsidR="001570FD" w:rsidRPr="00BE56D6">
        <w:rPr>
          <w:rFonts w:ascii="Times New Roman" w:hAnsi="Times New Roman" w:cs="Times New Roman"/>
          <w:sz w:val="28"/>
          <w:szCs w:val="28"/>
        </w:rPr>
        <w:t>он</w:t>
      </w:r>
      <w:r w:rsidRPr="00BE56D6">
        <w:rPr>
          <w:rFonts w:ascii="Times New Roman" w:hAnsi="Times New Roman" w:cs="Times New Roman"/>
          <w:sz w:val="28"/>
          <w:szCs w:val="28"/>
        </w:rPr>
        <w:t xml:space="preserve"> может </w:t>
      </w:r>
      <w:r w:rsidR="006178C8" w:rsidRPr="00BE56D6">
        <w:rPr>
          <w:rFonts w:ascii="Times New Roman" w:hAnsi="Times New Roman" w:cs="Times New Roman"/>
          <w:sz w:val="28"/>
          <w:szCs w:val="28"/>
        </w:rPr>
        <w:t xml:space="preserve">служить обозначением, </w:t>
      </w:r>
      <w:r w:rsidR="00D93FAA" w:rsidRPr="00BE56D6">
        <w:rPr>
          <w:rFonts w:ascii="Times New Roman" w:hAnsi="Times New Roman" w:cs="Times New Roman"/>
          <w:sz w:val="28"/>
          <w:szCs w:val="28"/>
        </w:rPr>
        <w:t>регистрируемым в качестве товарного знака</w:t>
      </w:r>
      <w:r w:rsidRPr="00BE56D6">
        <w:rPr>
          <w:rFonts w:ascii="Times New Roman" w:hAnsi="Times New Roman" w:cs="Times New Roman"/>
          <w:sz w:val="28"/>
          <w:szCs w:val="28"/>
        </w:rPr>
        <w:t>. В</w:t>
      </w:r>
      <w:r w:rsidR="006140E2" w:rsidRPr="00BE56D6">
        <w:rPr>
          <w:rFonts w:ascii="Times New Roman" w:hAnsi="Times New Roman" w:cs="Times New Roman"/>
          <w:sz w:val="28"/>
          <w:szCs w:val="28"/>
        </w:rPr>
        <w:t> </w:t>
      </w:r>
      <w:r w:rsidRPr="00BE56D6">
        <w:rPr>
          <w:rFonts w:ascii="Times New Roman" w:hAnsi="Times New Roman" w:cs="Times New Roman"/>
          <w:sz w:val="28"/>
          <w:szCs w:val="28"/>
        </w:rPr>
        <w:t>силу того, что исключительные права по</w:t>
      </w:r>
      <w:r w:rsidR="00152FC6" w:rsidRPr="00BE56D6">
        <w:rPr>
          <w:rFonts w:ascii="Times New Roman" w:hAnsi="Times New Roman" w:cs="Times New Roman"/>
          <w:sz w:val="28"/>
          <w:szCs w:val="28"/>
        </w:rPr>
        <w:t xml:space="preserve"> своей</w:t>
      </w:r>
      <w:r w:rsidRPr="00BE56D6">
        <w:rPr>
          <w:rFonts w:ascii="Times New Roman" w:hAnsi="Times New Roman" w:cs="Times New Roman"/>
          <w:sz w:val="28"/>
          <w:szCs w:val="28"/>
        </w:rPr>
        <w:t xml:space="preserve"> природе ограничены и не должны сами становиться препятствием для развития рыночных отношений, </w:t>
      </w:r>
      <w:r w:rsidR="00451666" w:rsidRPr="00BE56D6">
        <w:rPr>
          <w:rFonts w:ascii="Times New Roman" w:hAnsi="Times New Roman" w:cs="Times New Roman"/>
          <w:sz w:val="28"/>
          <w:szCs w:val="28"/>
        </w:rPr>
        <w:t xml:space="preserve">законодательство устанавливает требования, которым должна соответствовать </w:t>
      </w:r>
      <w:r w:rsidRPr="00BE56D6">
        <w:rPr>
          <w:rFonts w:ascii="Times New Roman" w:hAnsi="Times New Roman" w:cs="Times New Roman"/>
          <w:sz w:val="28"/>
          <w:szCs w:val="28"/>
        </w:rPr>
        <w:t>форма товара</w:t>
      </w:r>
      <w:r w:rsidR="00D93FAA" w:rsidRPr="00BE56D6">
        <w:rPr>
          <w:rFonts w:ascii="Times New Roman" w:hAnsi="Times New Roman" w:cs="Times New Roman"/>
          <w:sz w:val="28"/>
          <w:szCs w:val="28"/>
        </w:rPr>
        <w:t xml:space="preserve"> или его упаковк</w:t>
      </w:r>
      <w:r w:rsidR="006336FF" w:rsidRPr="00BE56D6">
        <w:rPr>
          <w:rFonts w:ascii="Times New Roman" w:hAnsi="Times New Roman" w:cs="Times New Roman"/>
          <w:sz w:val="28"/>
          <w:szCs w:val="28"/>
        </w:rPr>
        <w:t>и</w:t>
      </w:r>
      <w:r w:rsidR="0004227A" w:rsidRPr="00BE56D6">
        <w:rPr>
          <w:rFonts w:ascii="Times New Roman" w:hAnsi="Times New Roman" w:cs="Times New Roman"/>
          <w:sz w:val="28"/>
          <w:szCs w:val="28"/>
        </w:rPr>
        <w:t>,</w:t>
      </w:r>
      <w:r w:rsidR="00451666" w:rsidRPr="00BE56D6">
        <w:rPr>
          <w:rFonts w:ascii="Times New Roman" w:hAnsi="Times New Roman" w:cs="Times New Roman"/>
          <w:sz w:val="28"/>
          <w:szCs w:val="28"/>
        </w:rPr>
        <w:t xml:space="preserve"> </w:t>
      </w:r>
      <w:r w:rsidR="006336FF" w:rsidRPr="00BE56D6">
        <w:rPr>
          <w:rFonts w:ascii="Times New Roman" w:hAnsi="Times New Roman" w:cs="Times New Roman"/>
          <w:sz w:val="28"/>
          <w:szCs w:val="28"/>
        </w:rPr>
        <w:t xml:space="preserve">заявляемая </w:t>
      </w:r>
      <w:r w:rsidR="00D93FAA" w:rsidRPr="00BE56D6">
        <w:rPr>
          <w:rFonts w:ascii="Times New Roman" w:hAnsi="Times New Roman" w:cs="Times New Roman"/>
          <w:sz w:val="28"/>
          <w:szCs w:val="28"/>
        </w:rPr>
        <w:t>на регистрацию</w:t>
      </w:r>
      <w:r w:rsidR="006178C8" w:rsidRPr="00BE56D6">
        <w:rPr>
          <w:rFonts w:ascii="Times New Roman" w:hAnsi="Times New Roman" w:cs="Times New Roman"/>
          <w:sz w:val="28"/>
          <w:szCs w:val="28"/>
        </w:rPr>
        <w:t xml:space="preserve"> </w:t>
      </w:r>
      <w:r w:rsidR="00D93FAA" w:rsidRPr="00BE56D6">
        <w:rPr>
          <w:rFonts w:ascii="Times New Roman" w:hAnsi="Times New Roman" w:cs="Times New Roman"/>
          <w:sz w:val="28"/>
          <w:szCs w:val="28"/>
        </w:rPr>
        <w:t xml:space="preserve">в качестве </w:t>
      </w:r>
      <w:r w:rsidR="006178C8" w:rsidRPr="00BE56D6">
        <w:rPr>
          <w:rFonts w:ascii="Times New Roman" w:hAnsi="Times New Roman" w:cs="Times New Roman"/>
          <w:sz w:val="28"/>
          <w:szCs w:val="28"/>
        </w:rPr>
        <w:t>товарного знака</w:t>
      </w:r>
      <w:r w:rsidRPr="00BE56D6">
        <w:rPr>
          <w:rFonts w:ascii="Times New Roman" w:hAnsi="Times New Roman" w:cs="Times New Roman"/>
          <w:sz w:val="28"/>
          <w:szCs w:val="28"/>
        </w:rPr>
        <w:t xml:space="preserve">. </w:t>
      </w:r>
      <w:r w:rsidR="006178C8" w:rsidRPr="00BE56D6">
        <w:rPr>
          <w:rFonts w:ascii="Times New Roman" w:hAnsi="Times New Roman" w:cs="Times New Roman"/>
          <w:sz w:val="28"/>
          <w:szCs w:val="28"/>
        </w:rPr>
        <w:t xml:space="preserve">В </w:t>
      </w:r>
      <w:r w:rsidR="0056231D" w:rsidRPr="00BE56D6">
        <w:rPr>
          <w:rFonts w:ascii="Times New Roman" w:hAnsi="Times New Roman" w:cs="Times New Roman"/>
          <w:sz w:val="28"/>
          <w:szCs w:val="28"/>
        </w:rPr>
        <w:t xml:space="preserve">российской </w:t>
      </w:r>
      <w:r w:rsidR="006178C8" w:rsidRPr="00BE56D6">
        <w:rPr>
          <w:rFonts w:ascii="Times New Roman" w:hAnsi="Times New Roman" w:cs="Times New Roman"/>
          <w:sz w:val="28"/>
          <w:szCs w:val="28"/>
        </w:rPr>
        <w:t>судебной</w:t>
      </w:r>
      <w:r w:rsidRPr="00BE56D6">
        <w:rPr>
          <w:rFonts w:ascii="Times New Roman" w:hAnsi="Times New Roman" w:cs="Times New Roman"/>
          <w:sz w:val="28"/>
          <w:szCs w:val="28"/>
        </w:rPr>
        <w:t xml:space="preserve"> практике возникает ряд воп</w:t>
      </w:r>
      <w:r w:rsidR="0056231D" w:rsidRPr="00BE56D6">
        <w:rPr>
          <w:rFonts w:ascii="Times New Roman" w:hAnsi="Times New Roman" w:cs="Times New Roman"/>
          <w:sz w:val="28"/>
          <w:szCs w:val="28"/>
        </w:rPr>
        <w:t xml:space="preserve">росов, </w:t>
      </w:r>
      <w:r w:rsidR="00D93FAA" w:rsidRPr="00BE56D6">
        <w:rPr>
          <w:rFonts w:ascii="Times New Roman" w:hAnsi="Times New Roman" w:cs="Times New Roman"/>
          <w:sz w:val="28"/>
          <w:szCs w:val="28"/>
        </w:rPr>
        <w:t xml:space="preserve">касающихся определения формы, </w:t>
      </w:r>
      <w:r w:rsidR="0056231D" w:rsidRPr="00BE56D6">
        <w:rPr>
          <w:rFonts w:ascii="Times New Roman" w:hAnsi="Times New Roman" w:cs="Times New Roman"/>
          <w:sz w:val="28"/>
          <w:szCs w:val="28"/>
        </w:rPr>
        <w:t>которые находят отражение</w:t>
      </w:r>
      <w:r w:rsidRPr="00BE56D6">
        <w:rPr>
          <w:rFonts w:ascii="Times New Roman" w:hAnsi="Times New Roman" w:cs="Times New Roman"/>
          <w:sz w:val="28"/>
          <w:szCs w:val="28"/>
        </w:rPr>
        <w:t xml:space="preserve"> и в мировой практике.</w:t>
      </w:r>
    </w:p>
    <w:p w:rsidR="006336FF" w:rsidRPr="00BE56D6" w:rsidRDefault="001570FD" w:rsidP="00BE56D6">
      <w:pPr>
        <w:spacing w:after="0" w:line="360" w:lineRule="auto"/>
        <w:ind w:firstLine="709"/>
        <w:jc w:val="both"/>
        <w:rPr>
          <w:rFonts w:ascii="Times New Roman" w:hAnsi="Times New Roman" w:cs="Times New Roman"/>
          <w:sz w:val="28"/>
          <w:szCs w:val="28"/>
        </w:rPr>
      </w:pPr>
      <w:r w:rsidRPr="00BE56D6">
        <w:rPr>
          <w:rFonts w:ascii="Times New Roman" w:hAnsi="Times New Roman" w:cs="Times New Roman"/>
          <w:sz w:val="28"/>
          <w:szCs w:val="28"/>
        </w:rPr>
        <w:t xml:space="preserve">Правовые подходы к учету </w:t>
      </w:r>
      <w:proofErr w:type="spellStart"/>
      <w:r w:rsidRPr="00BE56D6">
        <w:rPr>
          <w:rFonts w:ascii="Times New Roman" w:hAnsi="Times New Roman" w:cs="Times New Roman"/>
          <w:sz w:val="28"/>
          <w:szCs w:val="28"/>
        </w:rPr>
        <w:t>охраноспособности</w:t>
      </w:r>
      <w:proofErr w:type="spellEnd"/>
      <w:r w:rsidRPr="00BE56D6">
        <w:rPr>
          <w:rFonts w:ascii="Times New Roman" w:hAnsi="Times New Roman" w:cs="Times New Roman"/>
          <w:sz w:val="28"/>
          <w:szCs w:val="28"/>
        </w:rPr>
        <w:t xml:space="preserve"> формы товара </w:t>
      </w:r>
      <w:r w:rsidR="000A1774" w:rsidRPr="00BE56D6">
        <w:rPr>
          <w:rFonts w:ascii="Times New Roman" w:hAnsi="Times New Roman" w:cs="Times New Roman"/>
          <w:sz w:val="28"/>
          <w:szCs w:val="28"/>
        </w:rPr>
        <w:t xml:space="preserve">будут рассмотрены </w:t>
      </w:r>
      <w:r w:rsidR="0037703F" w:rsidRPr="00BE56D6">
        <w:rPr>
          <w:rFonts w:ascii="Times New Roman" w:hAnsi="Times New Roman" w:cs="Times New Roman"/>
          <w:sz w:val="28"/>
          <w:szCs w:val="28"/>
        </w:rPr>
        <w:t>на одном из осенних заседаний рабочей группы Научно</w:t>
      </w:r>
      <w:r w:rsidR="00132C7B" w:rsidRPr="00132C7B">
        <w:rPr>
          <w:rFonts w:ascii="Times New Roman" w:hAnsi="Times New Roman" w:cs="Times New Roman"/>
          <w:sz w:val="28"/>
          <w:szCs w:val="28"/>
        </w:rPr>
        <w:noBreakHyphen/>
      </w:r>
      <w:r w:rsidR="0037703F" w:rsidRPr="00BE56D6">
        <w:rPr>
          <w:rFonts w:ascii="Times New Roman" w:hAnsi="Times New Roman" w:cs="Times New Roman"/>
          <w:sz w:val="28"/>
          <w:szCs w:val="28"/>
        </w:rPr>
        <w:t xml:space="preserve">консультативного совета при </w:t>
      </w:r>
      <w:r w:rsidRPr="00BE56D6">
        <w:rPr>
          <w:rFonts w:ascii="Times New Roman" w:hAnsi="Times New Roman" w:cs="Times New Roman"/>
          <w:sz w:val="28"/>
          <w:szCs w:val="28"/>
        </w:rPr>
        <w:t>Суд</w:t>
      </w:r>
      <w:r w:rsidR="0037703F" w:rsidRPr="00BE56D6">
        <w:rPr>
          <w:rFonts w:ascii="Times New Roman" w:hAnsi="Times New Roman" w:cs="Times New Roman"/>
          <w:sz w:val="28"/>
          <w:szCs w:val="28"/>
        </w:rPr>
        <w:t>е</w:t>
      </w:r>
      <w:r w:rsidRPr="00BE56D6">
        <w:rPr>
          <w:rFonts w:ascii="Times New Roman" w:hAnsi="Times New Roman" w:cs="Times New Roman"/>
          <w:sz w:val="28"/>
          <w:szCs w:val="28"/>
        </w:rPr>
        <w:t xml:space="preserve"> по интеллектуальным правам.</w:t>
      </w:r>
      <w:r w:rsidR="000A1774" w:rsidRPr="00BE56D6">
        <w:rPr>
          <w:rFonts w:ascii="Times New Roman" w:hAnsi="Times New Roman" w:cs="Times New Roman"/>
          <w:sz w:val="28"/>
          <w:szCs w:val="28"/>
        </w:rPr>
        <w:t xml:space="preserve"> </w:t>
      </w:r>
    </w:p>
    <w:p w:rsidR="0056231D" w:rsidRPr="00BE56D6" w:rsidRDefault="000A1774" w:rsidP="00BE56D6">
      <w:pPr>
        <w:spacing w:after="0" w:line="360" w:lineRule="auto"/>
        <w:ind w:firstLine="709"/>
        <w:jc w:val="both"/>
        <w:rPr>
          <w:rFonts w:ascii="Times New Roman" w:hAnsi="Times New Roman" w:cs="Times New Roman"/>
          <w:sz w:val="28"/>
          <w:szCs w:val="28"/>
        </w:rPr>
      </w:pPr>
      <w:r w:rsidRPr="00BE56D6">
        <w:rPr>
          <w:rFonts w:ascii="Times New Roman" w:hAnsi="Times New Roman" w:cs="Times New Roman"/>
          <w:sz w:val="28"/>
          <w:szCs w:val="28"/>
        </w:rPr>
        <w:t xml:space="preserve">В </w:t>
      </w:r>
      <w:r w:rsidR="0037703F" w:rsidRPr="00BE56D6">
        <w:rPr>
          <w:rFonts w:ascii="Times New Roman" w:hAnsi="Times New Roman" w:cs="Times New Roman"/>
          <w:sz w:val="28"/>
          <w:szCs w:val="28"/>
        </w:rPr>
        <w:t>ходе подготовки к</w:t>
      </w:r>
      <w:r w:rsidRPr="00BE56D6">
        <w:rPr>
          <w:rFonts w:ascii="Times New Roman" w:hAnsi="Times New Roman" w:cs="Times New Roman"/>
          <w:sz w:val="28"/>
          <w:szCs w:val="28"/>
        </w:rPr>
        <w:t xml:space="preserve"> </w:t>
      </w:r>
      <w:r w:rsidR="0037703F" w:rsidRPr="00BE56D6">
        <w:rPr>
          <w:rFonts w:ascii="Times New Roman" w:hAnsi="Times New Roman" w:cs="Times New Roman"/>
          <w:sz w:val="28"/>
          <w:szCs w:val="28"/>
        </w:rPr>
        <w:t>заседанию</w:t>
      </w:r>
      <w:r w:rsidR="0052618F" w:rsidRPr="00BE56D6">
        <w:rPr>
          <w:rFonts w:ascii="Times New Roman" w:hAnsi="Times New Roman" w:cs="Times New Roman"/>
          <w:sz w:val="28"/>
          <w:szCs w:val="28"/>
        </w:rPr>
        <w:t xml:space="preserve"> </w:t>
      </w:r>
      <w:r w:rsidR="0056231D" w:rsidRPr="00BE56D6">
        <w:rPr>
          <w:rFonts w:ascii="Times New Roman" w:hAnsi="Times New Roman" w:cs="Times New Roman"/>
          <w:sz w:val="28"/>
          <w:szCs w:val="28"/>
        </w:rPr>
        <w:t xml:space="preserve">Суд по интеллектуальным правам </w:t>
      </w:r>
      <w:r w:rsidR="00BE56D6" w:rsidRPr="00BE56D6">
        <w:rPr>
          <w:rFonts w:ascii="Times New Roman" w:hAnsi="Times New Roman" w:cs="Times New Roman"/>
          <w:sz w:val="28"/>
          <w:szCs w:val="28"/>
        </w:rPr>
        <w:t>подготовил</w:t>
      </w:r>
      <w:r w:rsidR="0052618F" w:rsidRPr="00BE56D6">
        <w:rPr>
          <w:rFonts w:ascii="Times New Roman" w:hAnsi="Times New Roman" w:cs="Times New Roman"/>
          <w:sz w:val="28"/>
          <w:szCs w:val="28"/>
        </w:rPr>
        <w:t xml:space="preserve"> </w:t>
      </w:r>
      <w:r w:rsidR="0037703F" w:rsidRPr="00BE56D6">
        <w:rPr>
          <w:rFonts w:ascii="Times New Roman" w:hAnsi="Times New Roman" w:cs="Times New Roman"/>
          <w:sz w:val="28"/>
          <w:szCs w:val="28"/>
        </w:rPr>
        <w:t>о</w:t>
      </w:r>
      <w:r w:rsidR="0056231D" w:rsidRPr="00BE56D6">
        <w:rPr>
          <w:rFonts w:ascii="Times New Roman" w:hAnsi="Times New Roman" w:cs="Times New Roman"/>
          <w:sz w:val="28"/>
          <w:szCs w:val="28"/>
        </w:rPr>
        <w:t xml:space="preserve">бзор законодательства и практики в Российской Федерации и </w:t>
      </w:r>
      <w:r w:rsidR="00BE56D6" w:rsidRPr="00BE56D6">
        <w:rPr>
          <w:rFonts w:ascii="Times New Roman" w:hAnsi="Times New Roman" w:cs="Times New Roman"/>
          <w:sz w:val="28"/>
          <w:szCs w:val="28"/>
        </w:rPr>
        <w:t>в</w:t>
      </w:r>
      <w:r w:rsidR="00BE56D6">
        <w:rPr>
          <w:rFonts w:ascii="Times New Roman" w:hAnsi="Times New Roman" w:cs="Times New Roman"/>
          <w:sz w:val="28"/>
          <w:szCs w:val="28"/>
        </w:rPr>
        <w:t> </w:t>
      </w:r>
      <w:r w:rsidR="0056231D" w:rsidRPr="00BE56D6">
        <w:rPr>
          <w:rFonts w:ascii="Times New Roman" w:hAnsi="Times New Roman" w:cs="Times New Roman"/>
          <w:sz w:val="28"/>
          <w:szCs w:val="28"/>
        </w:rPr>
        <w:t>Европейском союзе по вопросам, связанным с определение</w:t>
      </w:r>
      <w:r w:rsidR="001570FD" w:rsidRPr="00BE56D6">
        <w:rPr>
          <w:rFonts w:ascii="Times New Roman" w:hAnsi="Times New Roman" w:cs="Times New Roman"/>
          <w:sz w:val="28"/>
          <w:szCs w:val="28"/>
        </w:rPr>
        <w:t>м</w:t>
      </w:r>
      <w:r w:rsidR="0056231D" w:rsidRPr="00BE56D6">
        <w:rPr>
          <w:rFonts w:ascii="Times New Roman" w:hAnsi="Times New Roman" w:cs="Times New Roman"/>
          <w:sz w:val="28"/>
          <w:szCs w:val="28"/>
        </w:rPr>
        <w:t xml:space="preserve"> формы в составе объемных товарных знаков</w:t>
      </w:r>
      <w:r w:rsidR="0052618F" w:rsidRPr="00BE56D6">
        <w:rPr>
          <w:rFonts w:ascii="Times New Roman" w:hAnsi="Times New Roman" w:cs="Times New Roman"/>
          <w:sz w:val="28"/>
          <w:szCs w:val="28"/>
        </w:rPr>
        <w:t>.</w:t>
      </w:r>
      <w:r w:rsidR="00152FC6" w:rsidRPr="00BE56D6">
        <w:rPr>
          <w:rFonts w:ascii="Times New Roman" w:hAnsi="Times New Roman" w:cs="Times New Roman"/>
          <w:sz w:val="28"/>
          <w:szCs w:val="28"/>
        </w:rPr>
        <w:t xml:space="preserve"> </w:t>
      </w:r>
    </w:p>
    <w:p w:rsidR="001570FD" w:rsidRPr="00BE56D6" w:rsidRDefault="001570FD" w:rsidP="0056231D">
      <w:pPr>
        <w:spacing w:after="0" w:line="360" w:lineRule="auto"/>
        <w:ind w:firstLine="708"/>
        <w:jc w:val="both"/>
        <w:rPr>
          <w:rFonts w:ascii="Times New Roman" w:hAnsi="Times New Roman" w:cs="Times New Roman"/>
          <w:sz w:val="28"/>
          <w:szCs w:val="28"/>
        </w:rPr>
      </w:pPr>
      <w:r w:rsidRPr="00BE56D6">
        <w:rPr>
          <w:rFonts w:ascii="Times New Roman" w:hAnsi="Times New Roman" w:cs="Times New Roman"/>
          <w:sz w:val="28"/>
          <w:szCs w:val="28"/>
        </w:rPr>
        <w:t xml:space="preserve">Предлагаем читателям нашего журнала </w:t>
      </w:r>
      <w:r w:rsidR="006336FF" w:rsidRPr="00BE56D6">
        <w:rPr>
          <w:rFonts w:ascii="Times New Roman" w:hAnsi="Times New Roman" w:cs="Times New Roman"/>
          <w:sz w:val="28"/>
          <w:szCs w:val="28"/>
        </w:rPr>
        <w:t xml:space="preserve">ознакомиться с </w:t>
      </w:r>
      <w:r w:rsidR="0042529F">
        <w:rPr>
          <w:rFonts w:ascii="Times New Roman" w:hAnsi="Times New Roman" w:cs="Times New Roman"/>
          <w:sz w:val="28"/>
          <w:szCs w:val="28"/>
        </w:rPr>
        <w:t>указанными</w:t>
      </w:r>
      <w:r w:rsidR="006336FF" w:rsidRPr="00BE56D6">
        <w:rPr>
          <w:rFonts w:ascii="Times New Roman" w:hAnsi="Times New Roman" w:cs="Times New Roman"/>
          <w:sz w:val="28"/>
          <w:szCs w:val="28"/>
        </w:rPr>
        <w:t xml:space="preserve"> материалами и </w:t>
      </w:r>
      <w:r w:rsidRPr="00BE56D6">
        <w:rPr>
          <w:rFonts w:ascii="Times New Roman" w:hAnsi="Times New Roman" w:cs="Times New Roman"/>
          <w:sz w:val="28"/>
          <w:szCs w:val="28"/>
        </w:rPr>
        <w:t xml:space="preserve">принять участие в обсуждении </w:t>
      </w:r>
      <w:r w:rsidR="000A1774" w:rsidRPr="00BE56D6">
        <w:rPr>
          <w:rFonts w:ascii="Times New Roman" w:hAnsi="Times New Roman" w:cs="Times New Roman"/>
          <w:sz w:val="28"/>
          <w:szCs w:val="28"/>
        </w:rPr>
        <w:t>поставленных перед рабочей группой вопросов</w:t>
      </w:r>
      <w:r w:rsidRPr="00BE56D6">
        <w:rPr>
          <w:rFonts w:ascii="Times New Roman" w:hAnsi="Times New Roman" w:cs="Times New Roman"/>
          <w:sz w:val="28"/>
          <w:szCs w:val="28"/>
        </w:rPr>
        <w:t>.</w:t>
      </w:r>
    </w:p>
    <w:p w:rsidR="004B331F" w:rsidRDefault="006336FF" w:rsidP="0056231D">
      <w:pPr>
        <w:spacing w:after="0" w:line="360" w:lineRule="auto"/>
        <w:ind w:firstLine="708"/>
        <w:jc w:val="both"/>
        <w:rPr>
          <w:rFonts w:ascii="Times New Roman" w:hAnsi="Times New Roman" w:cs="Times New Roman"/>
          <w:sz w:val="28"/>
          <w:szCs w:val="28"/>
        </w:rPr>
      </w:pPr>
      <w:r w:rsidRPr="00BE56D6">
        <w:rPr>
          <w:rFonts w:ascii="Times New Roman" w:hAnsi="Times New Roman" w:cs="Times New Roman"/>
          <w:sz w:val="28"/>
          <w:szCs w:val="28"/>
        </w:rPr>
        <w:t>П</w:t>
      </w:r>
      <w:r w:rsidR="001570FD" w:rsidRPr="00BE56D6">
        <w:rPr>
          <w:rFonts w:ascii="Times New Roman" w:hAnsi="Times New Roman" w:cs="Times New Roman"/>
          <w:sz w:val="28"/>
          <w:szCs w:val="28"/>
        </w:rPr>
        <w:t>исьменное мнение</w:t>
      </w:r>
      <w:r w:rsidR="0056231D" w:rsidRPr="00BE56D6">
        <w:rPr>
          <w:rFonts w:ascii="Times New Roman" w:hAnsi="Times New Roman" w:cs="Times New Roman"/>
          <w:sz w:val="28"/>
          <w:szCs w:val="28"/>
        </w:rPr>
        <w:t xml:space="preserve"> вы можете направ</w:t>
      </w:r>
      <w:r w:rsidR="00D93FAA" w:rsidRPr="00BE56D6">
        <w:rPr>
          <w:rFonts w:ascii="Times New Roman" w:hAnsi="Times New Roman" w:cs="Times New Roman"/>
          <w:sz w:val="28"/>
          <w:szCs w:val="28"/>
        </w:rPr>
        <w:t>и</w:t>
      </w:r>
      <w:r w:rsidR="0056231D" w:rsidRPr="00BE56D6">
        <w:rPr>
          <w:rFonts w:ascii="Times New Roman" w:hAnsi="Times New Roman" w:cs="Times New Roman"/>
          <w:sz w:val="28"/>
          <w:szCs w:val="28"/>
        </w:rPr>
        <w:t>ть</w:t>
      </w:r>
      <w:r w:rsidR="00D93FAA" w:rsidRPr="00BE56D6">
        <w:rPr>
          <w:rFonts w:ascii="Times New Roman" w:hAnsi="Times New Roman" w:cs="Times New Roman"/>
          <w:sz w:val="28"/>
          <w:szCs w:val="28"/>
        </w:rPr>
        <w:t xml:space="preserve"> </w:t>
      </w:r>
      <w:r w:rsidRPr="00BE56D6">
        <w:rPr>
          <w:rFonts w:ascii="Times New Roman" w:hAnsi="Times New Roman" w:cs="Times New Roman"/>
          <w:sz w:val="28"/>
          <w:szCs w:val="28"/>
        </w:rPr>
        <w:t xml:space="preserve">в срок </w:t>
      </w:r>
      <w:r w:rsidR="00D93FAA" w:rsidRPr="00BE56D6">
        <w:rPr>
          <w:rFonts w:ascii="Times New Roman" w:hAnsi="Times New Roman" w:cs="Times New Roman"/>
          <w:sz w:val="28"/>
          <w:szCs w:val="28"/>
        </w:rPr>
        <w:t xml:space="preserve">до </w:t>
      </w:r>
      <w:r w:rsidR="001570FD" w:rsidRPr="00BE56D6">
        <w:rPr>
          <w:rFonts w:ascii="Times New Roman" w:hAnsi="Times New Roman" w:cs="Times New Roman"/>
          <w:sz w:val="28"/>
          <w:szCs w:val="28"/>
        </w:rPr>
        <w:t>01</w:t>
      </w:r>
      <w:r w:rsidR="00D93FAA" w:rsidRPr="00BE56D6">
        <w:rPr>
          <w:rFonts w:ascii="Times New Roman" w:hAnsi="Times New Roman" w:cs="Times New Roman"/>
          <w:sz w:val="28"/>
          <w:szCs w:val="28"/>
        </w:rPr>
        <w:t>.</w:t>
      </w:r>
      <w:r w:rsidR="001570FD" w:rsidRPr="00BE56D6">
        <w:rPr>
          <w:rFonts w:ascii="Times New Roman" w:hAnsi="Times New Roman" w:cs="Times New Roman"/>
          <w:sz w:val="28"/>
          <w:szCs w:val="28"/>
        </w:rPr>
        <w:t>09</w:t>
      </w:r>
      <w:r w:rsidR="00D93FAA" w:rsidRPr="00BE56D6">
        <w:rPr>
          <w:rFonts w:ascii="Times New Roman" w:hAnsi="Times New Roman" w:cs="Times New Roman"/>
          <w:sz w:val="28"/>
          <w:szCs w:val="28"/>
        </w:rPr>
        <w:t>.2021</w:t>
      </w:r>
      <w:r w:rsidR="0056231D" w:rsidRPr="00BE56D6">
        <w:rPr>
          <w:rFonts w:ascii="Times New Roman" w:hAnsi="Times New Roman" w:cs="Times New Roman"/>
          <w:sz w:val="28"/>
          <w:szCs w:val="28"/>
        </w:rPr>
        <w:t xml:space="preserve"> на адрес электронной почты</w:t>
      </w:r>
      <w:r w:rsidR="00937E60" w:rsidRPr="00BE56D6">
        <w:rPr>
          <w:rFonts w:ascii="Times New Roman" w:hAnsi="Times New Roman" w:cs="Times New Roman"/>
          <w:color w:val="000000"/>
          <w:sz w:val="28"/>
          <w:szCs w:val="28"/>
        </w:rPr>
        <w:t> </w:t>
      </w:r>
      <w:hyperlink r:id="rId7" w:tgtFrame="_blank" w:history="1">
        <w:r w:rsidR="00937E60" w:rsidRPr="00BE56D6">
          <w:rPr>
            <w:rStyle w:val="af5"/>
            <w:rFonts w:ascii="Times New Roman" w:hAnsi="Times New Roman" w:cs="Times New Roman"/>
            <w:sz w:val="28"/>
            <w:szCs w:val="28"/>
            <w:lang w:val="en-US"/>
          </w:rPr>
          <w:t>sip</w:t>
        </w:r>
        <w:r w:rsidR="00937E60" w:rsidRPr="00BE56D6">
          <w:rPr>
            <w:rStyle w:val="af5"/>
            <w:rFonts w:ascii="Times New Roman" w:hAnsi="Times New Roman" w:cs="Times New Roman"/>
            <w:sz w:val="28"/>
            <w:szCs w:val="28"/>
          </w:rPr>
          <w:t>.</w:t>
        </w:r>
        <w:r w:rsidR="00937E60" w:rsidRPr="00BE56D6">
          <w:rPr>
            <w:rStyle w:val="af5"/>
            <w:rFonts w:ascii="Times New Roman" w:hAnsi="Times New Roman" w:cs="Times New Roman"/>
            <w:sz w:val="28"/>
            <w:szCs w:val="28"/>
            <w:lang w:val="en-US"/>
          </w:rPr>
          <w:t>nks</w:t>
        </w:r>
        <w:r w:rsidR="00937E60" w:rsidRPr="00BE56D6">
          <w:rPr>
            <w:rStyle w:val="af5"/>
            <w:rFonts w:ascii="Times New Roman" w:hAnsi="Times New Roman" w:cs="Times New Roman"/>
            <w:sz w:val="28"/>
            <w:szCs w:val="28"/>
          </w:rPr>
          <w:t>@</w:t>
        </w:r>
        <w:r w:rsidR="00937E60" w:rsidRPr="00BE56D6">
          <w:rPr>
            <w:rStyle w:val="af5"/>
            <w:rFonts w:ascii="Times New Roman" w:hAnsi="Times New Roman" w:cs="Times New Roman"/>
            <w:sz w:val="28"/>
            <w:szCs w:val="28"/>
            <w:lang w:val="en-US"/>
          </w:rPr>
          <w:t>arbitr</w:t>
        </w:r>
        <w:r w:rsidR="00937E60" w:rsidRPr="00BE56D6">
          <w:rPr>
            <w:rStyle w:val="af5"/>
            <w:rFonts w:ascii="Times New Roman" w:hAnsi="Times New Roman" w:cs="Times New Roman"/>
            <w:sz w:val="28"/>
            <w:szCs w:val="28"/>
          </w:rPr>
          <w:t>.</w:t>
        </w:r>
        <w:r w:rsidR="00937E60" w:rsidRPr="00BE56D6">
          <w:rPr>
            <w:rStyle w:val="af5"/>
            <w:rFonts w:ascii="Times New Roman" w:hAnsi="Times New Roman" w:cs="Times New Roman"/>
            <w:sz w:val="28"/>
            <w:szCs w:val="28"/>
            <w:lang w:val="en-US"/>
          </w:rPr>
          <w:t>ru</w:t>
        </w:r>
      </w:hyperlink>
      <w:r w:rsidR="0056231D" w:rsidRPr="001C7759">
        <w:rPr>
          <w:rStyle w:val="af5"/>
          <w:rFonts w:ascii="Times New Roman" w:hAnsi="Times New Roman" w:cs="Times New Roman"/>
          <w:color w:val="auto"/>
          <w:sz w:val="28"/>
          <w:szCs w:val="28"/>
          <w:u w:val="none"/>
        </w:rPr>
        <w:t>.</w:t>
      </w:r>
      <w:r w:rsidR="001570FD" w:rsidRPr="00BE56D6">
        <w:rPr>
          <w:rStyle w:val="af5"/>
          <w:rFonts w:ascii="Times New Roman" w:hAnsi="Times New Roman" w:cs="Times New Roman"/>
          <w:sz w:val="28"/>
          <w:szCs w:val="28"/>
          <w:u w:val="none"/>
        </w:rPr>
        <w:t xml:space="preserve"> </w:t>
      </w:r>
      <w:r w:rsidR="001570FD" w:rsidRPr="00BE56D6">
        <w:rPr>
          <w:rFonts w:ascii="Times New Roman" w:hAnsi="Times New Roman" w:cs="Times New Roman"/>
          <w:sz w:val="28"/>
          <w:szCs w:val="28"/>
        </w:rPr>
        <w:t>Оно будет принято во внимание в ходе обсуждения, а также опубликовано на страницах Журнала Суда по интеллектуальным правам.</w:t>
      </w:r>
    </w:p>
    <w:p w:rsidR="004B331F" w:rsidRDefault="004B331F">
      <w:pPr>
        <w:rPr>
          <w:rFonts w:ascii="Times New Roman" w:hAnsi="Times New Roman" w:cs="Times New Roman"/>
          <w:sz w:val="28"/>
          <w:szCs w:val="28"/>
        </w:rPr>
      </w:pPr>
      <w:r>
        <w:rPr>
          <w:rFonts w:ascii="Times New Roman" w:hAnsi="Times New Roman" w:cs="Times New Roman"/>
          <w:sz w:val="28"/>
          <w:szCs w:val="28"/>
        </w:rPr>
        <w:br w:type="page"/>
      </w:r>
    </w:p>
    <w:p w:rsidR="002B216F" w:rsidRPr="002B216F" w:rsidRDefault="002B216F" w:rsidP="002B216F">
      <w:pPr>
        <w:pStyle w:val="a9"/>
        <w:numPr>
          <w:ilvl w:val="0"/>
          <w:numId w:val="34"/>
        </w:numPr>
        <w:tabs>
          <w:tab w:val="left" w:pos="1134"/>
        </w:tabs>
        <w:rPr>
          <w:b/>
          <w:sz w:val="28"/>
          <w:szCs w:val="28"/>
        </w:rPr>
      </w:pPr>
      <w:r w:rsidRPr="002B216F">
        <w:rPr>
          <w:b/>
          <w:sz w:val="28"/>
          <w:szCs w:val="28"/>
        </w:rPr>
        <w:lastRenderedPageBreak/>
        <w:t>Вопросы для обсуждения</w:t>
      </w:r>
    </w:p>
    <w:p w:rsidR="002B216F" w:rsidRPr="002B216F" w:rsidRDefault="002B216F" w:rsidP="002B216F">
      <w:pPr>
        <w:pStyle w:val="a9"/>
        <w:numPr>
          <w:ilvl w:val="0"/>
          <w:numId w:val="43"/>
        </w:numPr>
        <w:tabs>
          <w:tab w:val="left" w:pos="1134"/>
        </w:tabs>
        <w:spacing w:line="360" w:lineRule="auto"/>
        <w:ind w:left="0" w:firstLine="709"/>
        <w:rPr>
          <w:sz w:val="28"/>
          <w:szCs w:val="28"/>
        </w:rPr>
      </w:pPr>
      <w:r w:rsidRPr="002B216F">
        <w:rPr>
          <w:sz w:val="28"/>
          <w:szCs w:val="28"/>
        </w:rPr>
        <w:t>Возможно ли определять форму товара (подпункт 4 пункта 1 статьи 1483 ГК РФ) исключительно как внешний контур изделия (</w:t>
      </w:r>
      <w:r w:rsidRPr="002B216F">
        <w:rPr>
          <w:sz w:val="28"/>
          <w:szCs w:val="28"/>
          <w:lang w:eastAsia="ru-RU"/>
        </w:rPr>
        <w:t>совокупность линий и контуров, которые определяют границы соответствующего товара в пространстве)? Возможно ли при анализе формы товара и ее элементов учитывать Международную классификацию изобразительных элементов товарных знаков (если да, то в каком объеме)?</w:t>
      </w:r>
    </w:p>
    <w:p w:rsidR="002B216F" w:rsidRPr="002B216F" w:rsidRDefault="002B216F" w:rsidP="002B216F">
      <w:pPr>
        <w:pStyle w:val="a9"/>
        <w:numPr>
          <w:ilvl w:val="0"/>
          <w:numId w:val="43"/>
        </w:numPr>
        <w:tabs>
          <w:tab w:val="left" w:pos="1134"/>
        </w:tabs>
        <w:spacing w:line="360" w:lineRule="auto"/>
        <w:ind w:left="0" w:firstLine="709"/>
        <w:rPr>
          <w:sz w:val="28"/>
          <w:szCs w:val="28"/>
        </w:rPr>
      </w:pPr>
      <w:r w:rsidRPr="002B216F">
        <w:rPr>
          <w:sz w:val="28"/>
          <w:szCs w:val="28"/>
          <w:lang w:eastAsia="ru-RU"/>
        </w:rPr>
        <w:t>Следует ли отдельно рассматривать различные элементы формы товара (горлышко, дно, стенки бутылки, ручка кувшина и т.д.) при оценке традиционности, функциональности либо альтернативности формы (аналитический подход)? Или же следует оценивать только всю форму товара в совокупности всех элементов (форма бутылки) (синтетический подход)? Можно ли какие</w:t>
      </w:r>
      <w:r w:rsidRPr="002B216F">
        <w:rPr>
          <w:sz w:val="28"/>
          <w:szCs w:val="28"/>
          <w:lang w:eastAsia="ru-RU"/>
        </w:rPr>
        <w:noBreakHyphen/>
        <w:t>либо элементы формы товара признать неохраняемыми или же форма всегда должна рассматриваться как единое целое? Может ли один из элементов формы товара занимать доминирующее положение?</w:t>
      </w:r>
    </w:p>
    <w:p w:rsidR="002B216F" w:rsidRPr="002B216F" w:rsidRDefault="002B216F" w:rsidP="002B216F">
      <w:pPr>
        <w:pStyle w:val="a9"/>
        <w:numPr>
          <w:ilvl w:val="0"/>
          <w:numId w:val="43"/>
        </w:numPr>
        <w:tabs>
          <w:tab w:val="left" w:pos="1134"/>
        </w:tabs>
        <w:spacing w:line="360" w:lineRule="auto"/>
        <w:ind w:left="0" w:firstLine="709"/>
        <w:rPr>
          <w:sz w:val="28"/>
          <w:szCs w:val="28"/>
        </w:rPr>
      </w:pPr>
      <w:r w:rsidRPr="002B216F">
        <w:rPr>
          <w:sz w:val="28"/>
          <w:szCs w:val="28"/>
          <w:lang w:eastAsia="ru-RU"/>
        </w:rPr>
        <w:t>С учетом каких обстоятельств устанавливается традиционность внешнего контура изделия? Учитывается ли при этом насыщенность аналогового ряда?</w:t>
      </w:r>
    </w:p>
    <w:p w:rsidR="002B216F" w:rsidRPr="002B216F" w:rsidRDefault="002B216F" w:rsidP="002B216F">
      <w:pPr>
        <w:pStyle w:val="a9"/>
        <w:numPr>
          <w:ilvl w:val="0"/>
          <w:numId w:val="43"/>
        </w:numPr>
        <w:tabs>
          <w:tab w:val="left" w:pos="1134"/>
        </w:tabs>
        <w:spacing w:line="360" w:lineRule="auto"/>
        <w:ind w:left="0" w:firstLine="709"/>
        <w:rPr>
          <w:sz w:val="28"/>
          <w:szCs w:val="28"/>
        </w:rPr>
      </w:pPr>
      <w:r w:rsidRPr="002B216F">
        <w:rPr>
          <w:sz w:val="28"/>
          <w:szCs w:val="28"/>
        </w:rPr>
        <w:t xml:space="preserve">Могут ли узор, наклейка, цвет, наложенный на товар, рассматриваться как элементы формы товара? </w:t>
      </w:r>
    </w:p>
    <w:p w:rsidR="004B331F" w:rsidRDefault="002B216F" w:rsidP="002B216F">
      <w:pPr>
        <w:pStyle w:val="a9"/>
        <w:numPr>
          <w:ilvl w:val="0"/>
          <w:numId w:val="43"/>
        </w:numPr>
        <w:tabs>
          <w:tab w:val="left" w:pos="1134"/>
        </w:tabs>
        <w:spacing w:line="360" w:lineRule="auto"/>
        <w:ind w:left="0" w:firstLine="709"/>
        <w:rPr>
          <w:sz w:val="28"/>
          <w:szCs w:val="28"/>
        </w:rPr>
      </w:pPr>
      <w:r w:rsidRPr="002B216F">
        <w:rPr>
          <w:sz w:val="28"/>
          <w:szCs w:val="28"/>
        </w:rPr>
        <w:t>Может ли считаться упаковка товара формой товара по смыслу подпункта 4 пункта 1 статьи 1483 ГК РФ в любом случае или только в случае отсутствия у товара собственной формы (например, сыпучие, жидкие товары)?</w:t>
      </w:r>
    </w:p>
    <w:p w:rsidR="002B216F" w:rsidRPr="004B331F" w:rsidRDefault="004B331F" w:rsidP="004B331F">
      <w:pPr>
        <w:rPr>
          <w:rFonts w:ascii="Times New Roman" w:hAnsi="Times New Roman" w:cs="Times New Roman"/>
          <w:color w:val="000000" w:themeColor="text1"/>
          <w:sz w:val="28"/>
          <w:szCs w:val="28"/>
          <w:lang w:val="en-US"/>
        </w:rPr>
      </w:pPr>
      <w:r>
        <w:rPr>
          <w:sz w:val="28"/>
          <w:szCs w:val="28"/>
        </w:rPr>
        <w:br w:type="page"/>
      </w:r>
    </w:p>
    <w:p w:rsidR="00CC5D02" w:rsidRPr="00CC5D02" w:rsidRDefault="00CC5D02" w:rsidP="00CC5D02">
      <w:pPr>
        <w:numPr>
          <w:ilvl w:val="0"/>
          <w:numId w:val="34"/>
        </w:numPr>
        <w:spacing w:after="0" w:line="360" w:lineRule="auto"/>
        <w:jc w:val="both"/>
        <w:rPr>
          <w:rFonts w:ascii="Times New Roman" w:hAnsi="Times New Roman" w:cs="Times New Roman"/>
          <w:b/>
          <w:bCs/>
          <w:sz w:val="28"/>
          <w:szCs w:val="28"/>
        </w:rPr>
      </w:pPr>
      <w:r w:rsidRPr="00CC5D02">
        <w:rPr>
          <w:rFonts w:ascii="Times New Roman" w:hAnsi="Times New Roman" w:cs="Times New Roman"/>
          <w:b/>
          <w:bCs/>
          <w:sz w:val="28"/>
          <w:szCs w:val="28"/>
        </w:rPr>
        <w:lastRenderedPageBreak/>
        <w:t>Обзор законодательства и практики в Российской Федерации</w:t>
      </w:r>
    </w:p>
    <w:p w:rsidR="00CC5D02" w:rsidRPr="00CC5D02" w:rsidRDefault="00CC5D02" w:rsidP="00CC5D02">
      <w:pPr>
        <w:numPr>
          <w:ilvl w:val="1"/>
          <w:numId w:val="34"/>
        </w:numPr>
        <w:spacing w:after="0" w:line="360" w:lineRule="auto"/>
        <w:jc w:val="both"/>
        <w:rPr>
          <w:rFonts w:ascii="Times New Roman" w:hAnsi="Times New Roman" w:cs="Times New Roman"/>
          <w:b/>
          <w:bCs/>
          <w:sz w:val="28"/>
          <w:szCs w:val="28"/>
        </w:rPr>
      </w:pPr>
      <w:r w:rsidRPr="00CC5D02">
        <w:rPr>
          <w:rFonts w:ascii="Times New Roman" w:hAnsi="Times New Roman" w:cs="Times New Roman"/>
          <w:b/>
          <w:bCs/>
          <w:sz w:val="28"/>
          <w:szCs w:val="28"/>
        </w:rPr>
        <w:t xml:space="preserve"> Законодательство и подзаконные акты</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Гражданским кодексом Российской Федерации (далее – ГК РФ) предусмотрено, что в качестве товарного знака могут быть зарегистрированы разнообразные обозначения, служащие для индивидуализации товаров и услуг (статьи 1477 и 1482 указанного Кодекса), в частности, обозначение может быть «объемным» (пункт 1 статьи 1482 ГК РФ). </w:t>
      </w:r>
      <w:proofErr w:type="gramStart"/>
      <w:r w:rsidRPr="00CC5D02">
        <w:rPr>
          <w:rFonts w:ascii="Times New Roman" w:hAnsi="Times New Roman" w:cs="Times New Roman"/>
          <w:sz w:val="28"/>
          <w:szCs w:val="28"/>
        </w:rPr>
        <w:t>По смыслу подзаконных актов Федеральной службы по интеллектуальной собственности (Роспатента) такие обозначения определяются как пространственные объекты, представляющие собой произвольные трехмерные фигуры, форму товара, форму части товара либо форму упаковки</w:t>
      </w:r>
      <w:r w:rsidRPr="00CC5D02">
        <w:rPr>
          <w:rFonts w:ascii="Times New Roman" w:hAnsi="Times New Roman" w:cs="Times New Roman"/>
          <w:sz w:val="28"/>
          <w:szCs w:val="28"/>
          <w:vertAlign w:val="superscript"/>
        </w:rPr>
        <w:footnoteReference w:id="1"/>
      </w:r>
      <w:r w:rsidRPr="00CC5D02">
        <w:rPr>
          <w:rFonts w:ascii="Times New Roman" w:hAnsi="Times New Roman" w:cs="Times New Roman"/>
          <w:sz w:val="28"/>
          <w:szCs w:val="28"/>
        </w:rPr>
        <w:t>. Заявитель может подать на регистрацию в Роспатент комбинированное обозначение</w:t>
      </w:r>
      <w:r w:rsidRPr="00CC5D02">
        <w:rPr>
          <w:rFonts w:ascii="Times New Roman" w:hAnsi="Times New Roman" w:cs="Times New Roman"/>
          <w:sz w:val="28"/>
          <w:szCs w:val="28"/>
          <w:vertAlign w:val="superscript"/>
        </w:rPr>
        <w:footnoteReference w:id="2"/>
      </w:r>
      <w:r w:rsidRPr="00CC5D02">
        <w:rPr>
          <w:rFonts w:ascii="Times New Roman" w:hAnsi="Times New Roman" w:cs="Times New Roman"/>
          <w:sz w:val="28"/>
          <w:szCs w:val="28"/>
        </w:rPr>
        <w:t>, которое состоит из сочетания объемной формы и других элементов (слова, рисунки, цветовые решения и т.д.).</w:t>
      </w:r>
      <w:proofErr w:type="gramEnd"/>
      <w:r w:rsidRPr="00CC5D02">
        <w:rPr>
          <w:rFonts w:ascii="Times New Roman" w:hAnsi="Times New Roman" w:cs="Times New Roman"/>
          <w:sz w:val="28"/>
          <w:szCs w:val="28"/>
        </w:rPr>
        <w:t xml:space="preserve"> Заявитель также может подать на регистрацию обозначение, которое состоит из изображения объемной формы на плоскости (изобразительное обозначение)</w:t>
      </w:r>
      <w:r w:rsidRPr="00CC5D02">
        <w:rPr>
          <w:rFonts w:ascii="Times New Roman" w:hAnsi="Times New Roman" w:cs="Times New Roman"/>
          <w:sz w:val="28"/>
          <w:szCs w:val="28"/>
          <w:vertAlign w:val="superscript"/>
        </w:rPr>
        <w:footnoteReference w:id="3"/>
      </w:r>
      <w:r w:rsidRPr="00CC5D02">
        <w:rPr>
          <w:rFonts w:ascii="Times New Roman" w:hAnsi="Times New Roman" w:cs="Times New Roman"/>
          <w:sz w:val="28"/>
          <w:szCs w:val="28"/>
        </w:rPr>
        <w:t xml:space="preserve">.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Согласно подпункту 4 пункта 1 статьи 1483 ГК РФ не допускается государственная регистрация в качестве товарных знаков обозначений, не </w:t>
      </w:r>
      <w:r w:rsidRPr="00CC5D02">
        <w:rPr>
          <w:rFonts w:ascii="Times New Roman" w:hAnsi="Times New Roman" w:cs="Times New Roman"/>
          <w:sz w:val="28"/>
          <w:szCs w:val="28"/>
        </w:rPr>
        <w:lastRenderedPageBreak/>
        <w:t xml:space="preserve">обладающих различительной способностью или состоящих только из элементов, в том числе представляющих собой форму товаров, которая определяется исключительно или главным образом свойством либо назначением товаров. Такая форма товара наряду с другими элементами, указанными в подпунктах пункта 1 статьи 1483 ГК РФ, может быть включена в товарный знак как неохраняемый элемент, если она не занимает в нем доминирующего положения.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Разъяснения по вопросам применения статьи 1483 ГК РФ даны в  разных редакциях Правил составления, подачи и рассмотрения заявок на регистрацию товарного знака</w:t>
      </w:r>
      <w:r w:rsidRPr="00CC5D02">
        <w:rPr>
          <w:rFonts w:ascii="Times New Roman" w:hAnsi="Times New Roman" w:cs="Times New Roman"/>
          <w:sz w:val="28"/>
          <w:szCs w:val="28"/>
          <w:vertAlign w:val="superscript"/>
        </w:rPr>
        <w:footnoteReference w:id="4"/>
      </w:r>
      <w:r w:rsidRPr="00CC5D02">
        <w:rPr>
          <w:rFonts w:ascii="Times New Roman" w:hAnsi="Times New Roman" w:cs="Times New Roman"/>
          <w:sz w:val="28"/>
          <w:szCs w:val="28"/>
        </w:rPr>
        <w:t>; дополнительные разъяснения даны в Рекомендациях Роспатента от 2001 года</w:t>
      </w:r>
      <w:r w:rsidRPr="00CC5D02">
        <w:rPr>
          <w:rFonts w:ascii="Times New Roman" w:hAnsi="Times New Roman" w:cs="Times New Roman"/>
          <w:sz w:val="28"/>
          <w:szCs w:val="28"/>
          <w:vertAlign w:val="superscript"/>
        </w:rPr>
        <w:footnoteReference w:id="5"/>
      </w:r>
      <w:r w:rsidRPr="00CC5D02">
        <w:rPr>
          <w:rFonts w:ascii="Times New Roman" w:hAnsi="Times New Roman" w:cs="Times New Roman"/>
          <w:sz w:val="28"/>
          <w:szCs w:val="28"/>
        </w:rPr>
        <w:t>.</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Следовательно, для индивидуализации товаров заявителю предоставляется неограниченный выбор обозначений, включающий в себя различные виды трехмерных форм, из которых он может исключать те или иные элементы. Определение понятия «форма» имеет важное значение для вывода о возможности предоставления соответствующему обозначению правовой охраны.</w:t>
      </w:r>
    </w:p>
    <w:p w:rsidR="00CC5D02" w:rsidRDefault="00CC5D02" w:rsidP="00CC5D02">
      <w:pPr>
        <w:spacing w:after="0" w:line="360" w:lineRule="auto"/>
        <w:ind w:firstLine="708"/>
        <w:jc w:val="both"/>
        <w:rPr>
          <w:rFonts w:ascii="Times New Roman" w:hAnsi="Times New Roman" w:cs="Times New Roman"/>
          <w:sz w:val="28"/>
          <w:szCs w:val="28"/>
          <w:lang w:val="en-US"/>
        </w:rPr>
      </w:pPr>
      <w:r w:rsidRPr="00CC5D02">
        <w:rPr>
          <w:rFonts w:ascii="Times New Roman" w:hAnsi="Times New Roman" w:cs="Times New Roman"/>
          <w:sz w:val="28"/>
          <w:szCs w:val="28"/>
        </w:rPr>
        <w:t>Отдельного определения понятия «форма» законодательство или подзаконные акты не предусматривают. В русском языке это понятие имеет множество значений, наиболее подходящее из которых указывает на внешний вид предмета, определенный его контурами, т.е. элементами, влияющими только на объем</w:t>
      </w:r>
      <w:r w:rsidRPr="00CC5D02">
        <w:rPr>
          <w:rFonts w:ascii="Times New Roman" w:hAnsi="Times New Roman" w:cs="Times New Roman"/>
          <w:sz w:val="28"/>
          <w:szCs w:val="28"/>
          <w:vertAlign w:val="superscript"/>
        </w:rPr>
        <w:footnoteReference w:id="6"/>
      </w:r>
      <w:r w:rsidRPr="00CC5D02">
        <w:rPr>
          <w:rFonts w:ascii="Times New Roman" w:hAnsi="Times New Roman" w:cs="Times New Roman"/>
          <w:sz w:val="28"/>
          <w:szCs w:val="28"/>
        </w:rPr>
        <w:t>.</w:t>
      </w:r>
    </w:p>
    <w:p w:rsidR="004B331F" w:rsidRDefault="004B331F" w:rsidP="00CC5D02">
      <w:pPr>
        <w:spacing w:after="0" w:line="360" w:lineRule="auto"/>
        <w:ind w:firstLine="708"/>
        <w:jc w:val="both"/>
        <w:rPr>
          <w:rFonts w:ascii="Times New Roman" w:hAnsi="Times New Roman" w:cs="Times New Roman"/>
          <w:sz w:val="28"/>
          <w:szCs w:val="28"/>
          <w:lang w:val="en-US"/>
        </w:rPr>
      </w:pPr>
    </w:p>
    <w:p w:rsidR="004B331F" w:rsidRPr="004B331F" w:rsidRDefault="004B331F" w:rsidP="00CC5D02">
      <w:pPr>
        <w:spacing w:after="0" w:line="360" w:lineRule="auto"/>
        <w:ind w:firstLine="708"/>
        <w:jc w:val="both"/>
        <w:rPr>
          <w:rFonts w:ascii="Times New Roman" w:hAnsi="Times New Roman" w:cs="Times New Roman"/>
          <w:sz w:val="28"/>
          <w:szCs w:val="28"/>
          <w:lang w:val="en-US"/>
        </w:rPr>
      </w:pPr>
    </w:p>
    <w:p w:rsidR="00CC5D02" w:rsidRPr="00CC5D02" w:rsidRDefault="00CC5D02" w:rsidP="00CC5D02">
      <w:pPr>
        <w:numPr>
          <w:ilvl w:val="1"/>
          <w:numId w:val="34"/>
        </w:numPr>
        <w:spacing w:after="0" w:line="360" w:lineRule="auto"/>
        <w:jc w:val="both"/>
        <w:rPr>
          <w:rFonts w:ascii="Times New Roman" w:hAnsi="Times New Roman" w:cs="Times New Roman"/>
          <w:b/>
          <w:bCs/>
          <w:sz w:val="28"/>
          <w:szCs w:val="28"/>
        </w:rPr>
      </w:pPr>
      <w:r w:rsidRPr="00CC5D02">
        <w:rPr>
          <w:rFonts w:ascii="Times New Roman" w:hAnsi="Times New Roman" w:cs="Times New Roman"/>
          <w:b/>
          <w:bCs/>
          <w:sz w:val="28"/>
          <w:szCs w:val="28"/>
        </w:rPr>
        <w:lastRenderedPageBreak/>
        <w:t> Практика Суда по интеллектуальным правам</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В абзаце первом пункта 1 и в подпункте 4 пункта 1 статьи 1483 ГК РФ приведены различные основания, по которым обозначение может быть признано </w:t>
      </w:r>
      <w:proofErr w:type="spellStart"/>
      <w:r w:rsidRPr="00CC5D02">
        <w:rPr>
          <w:rFonts w:ascii="Times New Roman" w:hAnsi="Times New Roman" w:cs="Times New Roman"/>
          <w:sz w:val="28"/>
          <w:szCs w:val="28"/>
        </w:rPr>
        <w:t>неохраноспособным</w:t>
      </w:r>
      <w:proofErr w:type="spellEnd"/>
      <w:r w:rsidRPr="00CC5D02">
        <w:rPr>
          <w:rFonts w:ascii="Times New Roman" w:hAnsi="Times New Roman" w:cs="Times New Roman"/>
          <w:sz w:val="28"/>
          <w:szCs w:val="28"/>
        </w:rPr>
        <w:t>. По смыслу этого положения традиционное обозначение не может быть зарегистрировано в качестве товарного знака как не обладающее различительной способностью, а обозначение, элементы которого связаны с функциональным назначением, – как относящиеся к форме товаров (к упаковке товаров), определяемой свойством или назначением товаров. При применении этих положений также учитывается присутствие альтернативных форм на рынке товаров, для которых заявлено обозначение, тогда как утилитарность формы не имеет значения.</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Каждое из этих оснований является юридически самостоятельным, и каждое из них само по себе может служить основанием для отказа в регистрации товарного знака. Вместе с тем одно и то же обозначение может быть признано и традиционным, и обусловленным функциональным назначением товара (т.е. в отношении которого имеются оба названных основания для отказа в его регистрации). Этот подход отражен в постановлениях президиума Суда по интеллектуальным правам от 23.03.2020 по делу № СИП-442/2019, от 23.10.2020 по делу № СИП-1107/2019, от 05.03.2021 по делу № СИП-1087/2019 и др.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В своей практике Суд по интеллектуальным правам обычно опирается на упоминание категории и на описание обозначения, присутствующие в заявке, а также исходит из визуального определения обозначения с учетом указанных в заявке товаров и услуг. Определение различных элементов обозначения проводится на основании имеющихся в материалах дела документов, в том числе по данным реестра товарных знаков, свидетельства о регистрации. Суд по интеллектуальным правам может также исследовать имеющееся в материалах дела вещественное доказательство – экземпляр товара (</w:t>
      </w:r>
      <w:r w:rsidRPr="00CC5D02">
        <w:rPr>
          <w:rFonts w:ascii="Times New Roman" w:hAnsi="Times New Roman" w:cs="Times New Roman"/>
          <w:i/>
          <w:sz w:val="28"/>
          <w:szCs w:val="28"/>
        </w:rPr>
        <w:t>постановление президиума Суда по интеллектуальным правам от 23.10.2017 по делу № СИП-87/2017</w:t>
      </w:r>
      <w:r w:rsidRPr="00CC5D02">
        <w:rPr>
          <w:rFonts w:ascii="Times New Roman" w:hAnsi="Times New Roman" w:cs="Times New Roman"/>
          <w:sz w:val="28"/>
          <w:szCs w:val="28"/>
        </w:rPr>
        <w:t xml:space="preserve">). Базовым подходом остается оценка в </w:t>
      </w:r>
      <w:r w:rsidRPr="00CC5D02">
        <w:rPr>
          <w:rFonts w:ascii="Times New Roman" w:hAnsi="Times New Roman" w:cs="Times New Roman"/>
          <w:sz w:val="28"/>
          <w:szCs w:val="28"/>
        </w:rPr>
        <w:lastRenderedPageBreak/>
        <w:t>отношении конкретного обозначения в том виде, в котором оно заявлено на государственную регистрацию (</w:t>
      </w:r>
      <w:r w:rsidRPr="00CC5D02">
        <w:rPr>
          <w:rFonts w:ascii="Times New Roman" w:hAnsi="Times New Roman" w:cs="Times New Roman"/>
          <w:i/>
          <w:sz w:val="28"/>
          <w:szCs w:val="28"/>
        </w:rPr>
        <w:t>определение Верховного Суда Российской Федерации от 31.10.2019 № 300-ЭС19-12932</w:t>
      </w:r>
      <w:r w:rsidRPr="00CC5D02">
        <w:rPr>
          <w:rFonts w:ascii="Times New Roman" w:hAnsi="Times New Roman" w:cs="Times New Roman"/>
          <w:sz w:val="28"/>
          <w:szCs w:val="28"/>
        </w:rPr>
        <w:t>).</w:t>
      </w:r>
    </w:p>
    <w:p w:rsidR="00CC5D02" w:rsidRPr="00CC5D02" w:rsidRDefault="00CC5D02" w:rsidP="00CC5D02">
      <w:pPr>
        <w:spacing w:after="0" w:line="360" w:lineRule="auto"/>
        <w:ind w:firstLine="708"/>
        <w:jc w:val="both"/>
        <w:rPr>
          <w:rFonts w:ascii="Times New Roman" w:hAnsi="Times New Roman" w:cs="Times New Roman"/>
          <w:i/>
          <w:sz w:val="28"/>
          <w:szCs w:val="28"/>
        </w:rPr>
      </w:pPr>
      <w:r w:rsidRPr="00CC5D02">
        <w:rPr>
          <w:rFonts w:ascii="Times New Roman" w:hAnsi="Times New Roman" w:cs="Times New Roman"/>
          <w:sz w:val="28"/>
          <w:szCs w:val="28"/>
        </w:rPr>
        <w:t>На этапе рассмотрения дела об оспаривании решения Роспатента Суд по интеллектуальным правам может выявить, что элементы обозначения были неверно определены административным органом (</w:t>
      </w:r>
      <w:r w:rsidRPr="00CC5D02">
        <w:rPr>
          <w:rFonts w:ascii="Times New Roman" w:hAnsi="Times New Roman" w:cs="Times New Roman"/>
          <w:i/>
          <w:sz w:val="28"/>
          <w:szCs w:val="28"/>
        </w:rPr>
        <w:t>см., например, дела № СИП-343/2019, № СИП-87/2017</w:t>
      </w:r>
      <w:r w:rsidRPr="00CC5D02">
        <w:rPr>
          <w:rFonts w:ascii="Times New Roman" w:hAnsi="Times New Roman" w:cs="Times New Roman"/>
          <w:sz w:val="28"/>
          <w:szCs w:val="28"/>
        </w:rPr>
        <w:t>). Так, суд пришел к выводу о том, что тулово бутылки представляет собой прямоугольный параллелепипед, тогда как Роспатент описал эту форму как цилиндр. Указанный вывод Роспатента привел к неправильному применению законодательства, поскольку последующая оценка признаков заявленного обозначения ведется на основе фундаментальной ошибки (</w:t>
      </w:r>
      <w:r w:rsidRPr="00CC5D02">
        <w:rPr>
          <w:rFonts w:ascii="Times New Roman" w:hAnsi="Times New Roman" w:cs="Times New Roman"/>
          <w:i/>
          <w:sz w:val="28"/>
          <w:szCs w:val="28"/>
        </w:rPr>
        <w:t xml:space="preserve">постановление президиума Суда по интеллектуальным правам от 23.10.2020 по делу № СИП-1107/2019). </w:t>
      </w:r>
    </w:p>
    <w:p w:rsidR="00CC5D02" w:rsidRPr="00CC5D02" w:rsidRDefault="00CC5D02" w:rsidP="00CC5D02">
      <w:pPr>
        <w:spacing w:after="0" w:line="360" w:lineRule="auto"/>
        <w:ind w:firstLine="708"/>
        <w:jc w:val="both"/>
        <w:rPr>
          <w:rFonts w:ascii="Times New Roman" w:hAnsi="Times New Roman" w:cs="Times New Roman"/>
          <w:i/>
          <w:sz w:val="28"/>
          <w:szCs w:val="28"/>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3352"/>
        <w:gridCol w:w="4333"/>
      </w:tblGrid>
      <w:tr w:rsidR="00CC5D02" w:rsidRPr="00CC5D02" w:rsidTr="002B216F">
        <w:trPr>
          <w:jc w:val="center"/>
        </w:trPr>
        <w:tc>
          <w:tcPr>
            <w:tcW w:w="3352" w:type="dxa"/>
          </w:tcPr>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noProof/>
                <w:sz w:val="16"/>
                <w:szCs w:val="16"/>
                <w:lang w:eastAsia="ru-RU"/>
              </w:rPr>
              <w:drawing>
                <wp:inline distT="0" distB="0" distL="0" distR="0">
                  <wp:extent cx="1083873" cy="1052423"/>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4003" cy="1052550"/>
                          </a:xfrm>
                          <a:prstGeom prst="rect">
                            <a:avLst/>
                          </a:prstGeom>
                          <a:noFill/>
                          <a:ln>
                            <a:noFill/>
                          </a:ln>
                        </pic:spPr>
                      </pic:pic>
                    </a:graphicData>
                  </a:graphic>
                </wp:inline>
              </w:drawing>
            </w: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Суд пришел к выводу, о том, что обозначение состоит из формы товара и изобразительного элемента (рисунок среза киви), тогда как Роспатент счел, что оно состоит из формы и цветового решения.</w:t>
            </w: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Постановление президиума Суда по интеллектуальным правам от 29.11.2019 по делу № СИП-343/2019</w:t>
            </w:r>
          </w:p>
        </w:tc>
        <w:tc>
          <w:tcPr>
            <w:tcW w:w="4333" w:type="dxa"/>
          </w:tcPr>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noProof/>
                <w:sz w:val="16"/>
                <w:szCs w:val="16"/>
                <w:lang w:eastAsia="ru-RU"/>
              </w:rPr>
              <w:drawing>
                <wp:inline distT="0" distB="0" distL="0" distR="0">
                  <wp:extent cx="666299" cy="1978705"/>
                  <wp:effectExtent l="0" t="8572"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665772" cy="1977140"/>
                          </a:xfrm>
                          <a:prstGeom prst="rect">
                            <a:avLst/>
                          </a:prstGeom>
                          <a:noFill/>
                          <a:ln>
                            <a:noFill/>
                          </a:ln>
                        </pic:spPr>
                      </pic:pic>
                    </a:graphicData>
                  </a:graphic>
                </wp:inline>
              </w:drawing>
            </w:r>
          </w:p>
          <w:p w:rsidR="00CC5D02" w:rsidRPr="002B216F" w:rsidRDefault="00CC5D02" w:rsidP="002B216F">
            <w:pPr>
              <w:jc w:val="center"/>
              <w:rPr>
                <w:rFonts w:ascii="Times New Roman" w:hAnsi="Times New Roman" w:cs="Times New Roman"/>
                <w:sz w:val="16"/>
                <w:szCs w:val="16"/>
              </w:rPr>
            </w:pPr>
          </w:p>
          <w:p w:rsidR="002B216F" w:rsidRDefault="002B216F" w:rsidP="002B216F">
            <w:pPr>
              <w:jc w:val="center"/>
              <w:rPr>
                <w:rFonts w:ascii="Times New Roman" w:hAnsi="Times New Roman" w:cs="Times New Roman"/>
                <w:sz w:val="16"/>
                <w:szCs w:val="16"/>
                <w:lang w:val="en-US"/>
              </w:rPr>
            </w:pPr>
          </w:p>
          <w:p w:rsidR="002B216F" w:rsidRDefault="002B216F" w:rsidP="002B216F">
            <w:pPr>
              <w:jc w:val="center"/>
              <w:rPr>
                <w:rFonts w:ascii="Times New Roman" w:hAnsi="Times New Roman" w:cs="Times New Roman"/>
                <w:sz w:val="16"/>
                <w:szCs w:val="16"/>
                <w:lang w:val="en-US"/>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Суд пришел к выводу о том, что тулово бутылки представляет собой параллелепипед, а не цилиндр.</w:t>
            </w: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Постановление президиума Суда по интеллектуальным правам от 23.10.2020 по делу № СИП-1107/2019</w:t>
            </w:r>
          </w:p>
        </w:tc>
      </w:tr>
    </w:tbl>
    <w:p w:rsidR="00CC5D02" w:rsidRPr="00CC5D02" w:rsidRDefault="00CC5D02" w:rsidP="00CC5D02">
      <w:pPr>
        <w:spacing w:after="0" w:line="360" w:lineRule="auto"/>
        <w:ind w:firstLine="708"/>
        <w:jc w:val="both"/>
        <w:rPr>
          <w:rFonts w:ascii="Times New Roman" w:hAnsi="Times New Roman" w:cs="Times New Roman"/>
          <w:i/>
          <w:sz w:val="28"/>
          <w:szCs w:val="28"/>
        </w:rPr>
      </w:pP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На стадии рассмотрения дела в Суде по интеллектуальным правам Роспатент не может приводить довод об очевидности определенных формальных характеристик, если они не были ранее уточнены в материалах дела. Так, Роспатент неверно ссылался на очевидность самостоятельности двух элементов формы, влекущей их самостоятельное рассмотрение, тогда </w:t>
      </w:r>
      <w:r w:rsidRPr="00CC5D02">
        <w:rPr>
          <w:rFonts w:ascii="Times New Roman" w:hAnsi="Times New Roman" w:cs="Times New Roman"/>
          <w:sz w:val="28"/>
          <w:szCs w:val="28"/>
        </w:rPr>
        <w:lastRenderedPageBreak/>
        <w:t>как этот вывод не был ранее сделан Роспатентом и не следует из других документов и из данных реестра (</w:t>
      </w:r>
      <w:r w:rsidRPr="00CC5D02">
        <w:rPr>
          <w:rFonts w:ascii="Times New Roman" w:hAnsi="Times New Roman" w:cs="Times New Roman"/>
          <w:i/>
          <w:sz w:val="28"/>
          <w:szCs w:val="28"/>
        </w:rPr>
        <w:t>постановление президиума Суда по интеллектуальным правам от 23.10.2017 по делу № СИП-87/2017</w:t>
      </w:r>
      <w:r w:rsidRPr="00CC5D02">
        <w:rPr>
          <w:rFonts w:ascii="Times New Roman" w:hAnsi="Times New Roman" w:cs="Times New Roman"/>
          <w:sz w:val="28"/>
          <w:szCs w:val="28"/>
        </w:rPr>
        <w:t>).</w:t>
      </w:r>
    </w:p>
    <w:p w:rsidR="00CC5D02" w:rsidRPr="00CC5D02" w:rsidRDefault="00CC5D02" w:rsidP="00CC5D02">
      <w:pPr>
        <w:spacing w:after="0" w:line="360" w:lineRule="auto"/>
        <w:ind w:firstLine="708"/>
        <w:jc w:val="both"/>
        <w:rPr>
          <w:rFonts w:ascii="Times New Roman" w:hAnsi="Times New Roman" w:cs="Times New Roman"/>
          <w:i/>
          <w:sz w:val="28"/>
          <w:szCs w:val="28"/>
        </w:rPr>
      </w:pPr>
      <w:r w:rsidRPr="00CC5D02">
        <w:rPr>
          <w:rFonts w:ascii="Times New Roman" w:hAnsi="Times New Roman" w:cs="Times New Roman"/>
          <w:sz w:val="28"/>
          <w:szCs w:val="28"/>
        </w:rPr>
        <w:t xml:space="preserve">Суд по интеллектуальным правам проверяет, оценил ли Роспатент все признаки обозначения, детально определенные заявителем. Если Роспатент уклонился от оценки тех или иных элементов формы, являющихся, по мнению заявителя, уникальными и оригинальными, то это является основанием для вывода о допущенном нарушении </w:t>
      </w:r>
      <w:r w:rsidRPr="00CC5D02">
        <w:rPr>
          <w:rFonts w:ascii="Times New Roman" w:hAnsi="Times New Roman" w:cs="Times New Roman"/>
          <w:i/>
          <w:sz w:val="28"/>
          <w:szCs w:val="28"/>
        </w:rPr>
        <w:t xml:space="preserve">(решение Суда по интеллектуальным правам от 05.11.2020 по делу № СИП-333/2020, в кассационном порядке не обжаловано).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Следует отметить, что российское законодательство устанавливает единый подход к оценке условий охраны для всех видов обозначений, что вытекает из статьи 1477 ГК РФ. Так, единый подход относится к оценке различительной способности (пункт 1 статьи 1483 ГК РФ): оценка должна  производиться исходя из восприятия обозначения рядовым, средним потребителем – адресатом товаров, для индивидуализации которых испрашивается правовая охрана обозначения, в отношении конкретных товаров (</w:t>
      </w:r>
      <w:r w:rsidRPr="00CC5D02">
        <w:rPr>
          <w:rFonts w:ascii="Times New Roman" w:hAnsi="Times New Roman" w:cs="Times New Roman"/>
          <w:i/>
          <w:sz w:val="28"/>
          <w:szCs w:val="28"/>
        </w:rPr>
        <w:t>определение Верховного Суда Российской Федерации от 31.10.2019 № 300-ЭС19-12932</w:t>
      </w:r>
      <w:r w:rsidRPr="00CC5D02">
        <w:rPr>
          <w:rFonts w:ascii="Times New Roman" w:hAnsi="Times New Roman" w:cs="Times New Roman"/>
          <w:sz w:val="28"/>
          <w:szCs w:val="28"/>
        </w:rPr>
        <w:t>). На необходимость единого подхода в оценке условий охраны всех видов обозначений указано в постановлении президиума Суда по интеллектуальным правам</w:t>
      </w:r>
      <w:r w:rsidRPr="00CC5D02">
        <w:rPr>
          <w:rFonts w:ascii="Times New Roman" w:hAnsi="Times New Roman" w:cs="Times New Roman"/>
          <w:i/>
          <w:sz w:val="28"/>
          <w:szCs w:val="28"/>
        </w:rPr>
        <w:t xml:space="preserve"> </w:t>
      </w:r>
      <w:r w:rsidRPr="00CC5D02">
        <w:rPr>
          <w:rFonts w:ascii="Times New Roman" w:hAnsi="Times New Roman" w:cs="Times New Roman"/>
          <w:sz w:val="28"/>
          <w:szCs w:val="28"/>
        </w:rPr>
        <w:t xml:space="preserve">от 18.04.2019 по делу № СИП-619/2018.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Несмотря на единый подход ко всем обозначениям, не все элементы обозначения имеют одинаковое значение при оценке его различительной способности. Как отметил президиум Суда по интеллектуальным правам, «с особым вниманием следует отнестись к решению вопроса о наличии различительной способности в том случае, если объемное обозначение представляет собой форму частей товара или самого товара» (</w:t>
      </w:r>
      <w:r w:rsidRPr="00CC5D02">
        <w:rPr>
          <w:rFonts w:ascii="Times New Roman" w:hAnsi="Times New Roman" w:cs="Times New Roman"/>
          <w:i/>
          <w:sz w:val="28"/>
          <w:szCs w:val="28"/>
        </w:rPr>
        <w:t>постановления президиума Суда по интеллектуальным правам от 23.03.2020 по делу №</w:t>
      </w:r>
      <w:r w:rsidR="004B331F">
        <w:rPr>
          <w:rFonts w:ascii="Times New Roman" w:hAnsi="Times New Roman" w:cs="Times New Roman"/>
          <w:i/>
          <w:sz w:val="28"/>
          <w:szCs w:val="28"/>
          <w:lang w:val="en-US"/>
        </w:rPr>
        <w:t> </w:t>
      </w:r>
      <w:r w:rsidRPr="00CC5D02">
        <w:rPr>
          <w:rFonts w:ascii="Times New Roman" w:hAnsi="Times New Roman" w:cs="Times New Roman"/>
          <w:i/>
          <w:sz w:val="28"/>
          <w:szCs w:val="28"/>
        </w:rPr>
        <w:t>СИП-442/2019, от 05.03.2021 по делу № СИП-1087/2019</w:t>
      </w:r>
      <w:r w:rsidRPr="00CC5D02">
        <w:rPr>
          <w:rFonts w:ascii="Times New Roman" w:hAnsi="Times New Roman" w:cs="Times New Roman"/>
          <w:sz w:val="28"/>
          <w:szCs w:val="28"/>
        </w:rPr>
        <w:t>).</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lastRenderedPageBreak/>
        <w:t xml:space="preserve">Согласно абзацу шестому пункта 1 статьи 1483 ГК РФ в случае, если в обозначение включены неохраняемые элементы, такие как форма товара, определенная исключительно или главным образом свойством либо назначением товара, следует проверить, как все элементы обозначения располагаются и взаимодействуют в пространстве. Если неохраняемые элементы доминируют, они не могут быть включены в товарный знак, т.е. целое обозначение не будет обладать различительной способностью. Следовательно, определение «формы товара, которая определяется исключительно или главным образом свойством либо назначением товара» имеет особое значение в рамках оценки различительной способности всего обозначения.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Обозначение, представляющее собой стандартную форму товара или его упаковки (контейнера), может быть зарегистрировано как объемный товарный знак с исключением из правовой охраны формы такой упаковки, если на знаке имеются </w:t>
      </w:r>
      <w:proofErr w:type="spellStart"/>
      <w:r w:rsidRPr="00CC5D02">
        <w:rPr>
          <w:rFonts w:ascii="Times New Roman" w:hAnsi="Times New Roman" w:cs="Times New Roman"/>
          <w:sz w:val="28"/>
          <w:szCs w:val="28"/>
        </w:rPr>
        <w:t>охраноспособные</w:t>
      </w:r>
      <w:proofErr w:type="spellEnd"/>
      <w:r w:rsidRPr="00CC5D02">
        <w:rPr>
          <w:rFonts w:ascii="Times New Roman" w:hAnsi="Times New Roman" w:cs="Times New Roman"/>
          <w:sz w:val="28"/>
          <w:szCs w:val="28"/>
        </w:rPr>
        <w:t xml:space="preserve"> словесные, изобразительные элементы или их композиция, доминирующая над формой товара в силу пространственного расположения </w:t>
      </w:r>
      <w:r w:rsidRPr="00CC5D02">
        <w:rPr>
          <w:rFonts w:ascii="Times New Roman" w:hAnsi="Times New Roman" w:cs="Times New Roman"/>
          <w:i/>
          <w:sz w:val="28"/>
          <w:szCs w:val="28"/>
        </w:rPr>
        <w:t>(постановление президиума Суда по интеллектуальным правам от 18.04.2019 по делу № СИП-619/2018)</w:t>
      </w:r>
      <w:r w:rsidRPr="00CC5D02">
        <w:rPr>
          <w:rFonts w:ascii="Times New Roman" w:hAnsi="Times New Roman" w:cs="Times New Roman"/>
          <w:sz w:val="28"/>
          <w:szCs w:val="28"/>
        </w:rPr>
        <w:t xml:space="preserve">. Понятие «композиция» определено следующим образом: «совокупность элементов, объединенных какой-то связью, которая приводит к появлению новых интегративных свойств, не присущих этим элементам в их разобщенности» </w:t>
      </w:r>
      <w:r w:rsidRPr="00CC5D02">
        <w:rPr>
          <w:rFonts w:ascii="Times New Roman" w:hAnsi="Times New Roman" w:cs="Times New Roman"/>
          <w:i/>
          <w:sz w:val="28"/>
          <w:szCs w:val="28"/>
        </w:rPr>
        <w:t>(постановление президиума Суда по интеллектуальным правам от 20.05.2019 по делу № СИП-434/2018)</w:t>
      </w:r>
      <w:r w:rsidRPr="00CC5D02">
        <w:rPr>
          <w:rFonts w:ascii="Times New Roman" w:hAnsi="Times New Roman" w:cs="Times New Roman"/>
          <w:sz w:val="28"/>
          <w:szCs w:val="28"/>
        </w:rPr>
        <w:t xml:space="preserve">. </w:t>
      </w:r>
    </w:p>
    <w:p w:rsidR="00CC5D02" w:rsidRPr="00CC5D02" w:rsidRDefault="00CC5D02" w:rsidP="00CC5D02">
      <w:pPr>
        <w:spacing w:after="0" w:line="360" w:lineRule="auto"/>
        <w:ind w:firstLine="708"/>
        <w:jc w:val="both"/>
        <w:rPr>
          <w:rFonts w:ascii="Times New Roman" w:hAnsi="Times New Roman" w:cs="Times New Roman"/>
          <w:i/>
          <w:sz w:val="28"/>
          <w:szCs w:val="28"/>
        </w:rPr>
      </w:pPr>
      <w:r w:rsidRPr="00CC5D02">
        <w:rPr>
          <w:rFonts w:ascii="Times New Roman" w:hAnsi="Times New Roman" w:cs="Times New Roman"/>
          <w:sz w:val="28"/>
          <w:szCs w:val="28"/>
        </w:rPr>
        <w:t>Следует отметить, что, даже если в заявленном обозначении форма присутствует сама по себе, т.е. не в сочетании с этикеткой, цветовым решением, каким-либо изобразительным элементом, Суд по интеллектуальным правам соглашается с аналитическим подходом</w:t>
      </w:r>
      <w:r w:rsidRPr="00CC5D02">
        <w:rPr>
          <w:rFonts w:ascii="Times New Roman" w:hAnsi="Times New Roman" w:cs="Times New Roman"/>
          <w:sz w:val="28"/>
          <w:szCs w:val="28"/>
          <w:vertAlign w:val="superscript"/>
        </w:rPr>
        <w:footnoteReference w:id="7"/>
      </w:r>
      <w:r w:rsidRPr="00CC5D02">
        <w:rPr>
          <w:rFonts w:ascii="Times New Roman" w:hAnsi="Times New Roman" w:cs="Times New Roman"/>
          <w:sz w:val="28"/>
          <w:szCs w:val="28"/>
        </w:rPr>
        <w:t xml:space="preserve"> Роспатента, основанным на подробном описании и оценке каждого элемента </w:t>
      </w:r>
      <w:r w:rsidRPr="00CC5D02">
        <w:rPr>
          <w:rFonts w:ascii="Times New Roman" w:hAnsi="Times New Roman" w:cs="Times New Roman"/>
          <w:sz w:val="28"/>
          <w:szCs w:val="28"/>
        </w:rPr>
        <w:lastRenderedPageBreak/>
        <w:t xml:space="preserve">формы (тулово бутыли, горлышко, венчик, горловина, дно, рельефный узор, насечки и т.д.) </w:t>
      </w:r>
      <w:r w:rsidRPr="00CC5D02">
        <w:rPr>
          <w:rFonts w:ascii="Times New Roman" w:hAnsi="Times New Roman" w:cs="Times New Roman"/>
          <w:i/>
          <w:sz w:val="28"/>
          <w:szCs w:val="28"/>
        </w:rPr>
        <w:t>(решение Суда по интеллектуальным правам от 23.10.2019 по делу № СИП-442/2019, оставлено в силе постановлением президиума Суда по интеллектуальным правам от 23.03.2019)</w:t>
      </w:r>
      <w:r w:rsidRPr="00CC5D02">
        <w:rPr>
          <w:rFonts w:ascii="Times New Roman" w:hAnsi="Times New Roman" w:cs="Times New Roman"/>
          <w:sz w:val="28"/>
          <w:szCs w:val="28"/>
        </w:rPr>
        <w:t>. Такой подход позволяет определить среди различных элементов объемного обозначения те, которые занимают доминирующее положение. По сути, это означает, что форма товара не является единым, целостным обозначением, к оценке которого применим синтетический подход. Если доминирующее положение занимает традиционная форма (например, стандартная четырехгранная прямоугольная форма бутылки), а рельефный узор (декоративные элементы, выдавленные на поверхности тулова бутыли) не обладает способностью отличать приведенные в заявке товары от однородных товаров других производителей, названные элементы не восполняют недостаток оригинальности всего обозначения и им не может быть предоставлена самостоятельная правовая охрана (</w:t>
      </w:r>
      <w:r w:rsidRPr="00CC5D02">
        <w:rPr>
          <w:rFonts w:ascii="Times New Roman" w:hAnsi="Times New Roman" w:cs="Times New Roman"/>
          <w:i/>
          <w:sz w:val="28"/>
          <w:szCs w:val="28"/>
        </w:rPr>
        <w:t>решение Суда по интеллектуальным</w:t>
      </w:r>
      <w:r w:rsidR="001C7759">
        <w:rPr>
          <w:rFonts w:ascii="Times New Roman" w:hAnsi="Times New Roman" w:cs="Times New Roman"/>
          <w:i/>
          <w:sz w:val="28"/>
          <w:szCs w:val="28"/>
        </w:rPr>
        <w:t xml:space="preserve"> правам от 13.08.2020 по делу №</w:t>
      </w:r>
      <w:r w:rsidR="001C7759">
        <w:rPr>
          <w:rFonts w:ascii="Times New Roman" w:hAnsi="Times New Roman" w:cs="Times New Roman"/>
          <w:i/>
          <w:sz w:val="28"/>
          <w:szCs w:val="28"/>
          <w:lang w:val="en-US"/>
        </w:rPr>
        <w:t> </w:t>
      </w:r>
      <w:r w:rsidRPr="00CC5D02">
        <w:rPr>
          <w:rFonts w:ascii="Times New Roman" w:hAnsi="Times New Roman" w:cs="Times New Roman"/>
          <w:i/>
          <w:sz w:val="28"/>
          <w:szCs w:val="28"/>
        </w:rPr>
        <w:t>СИП-289/2020, в кассационном порядке не обжаловано</w:t>
      </w:r>
      <w:r w:rsidRPr="00CC5D02">
        <w:rPr>
          <w:rFonts w:ascii="Times New Roman" w:hAnsi="Times New Roman" w:cs="Times New Roman"/>
          <w:sz w:val="28"/>
          <w:szCs w:val="28"/>
        </w:rPr>
        <w:t xml:space="preserve">). </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2656"/>
        <w:gridCol w:w="3192"/>
        <w:gridCol w:w="2375"/>
      </w:tblGrid>
      <w:tr w:rsidR="00CC5D02" w:rsidRPr="002B216F" w:rsidTr="002B216F">
        <w:trPr>
          <w:jc w:val="center"/>
        </w:trPr>
        <w:tc>
          <w:tcPr>
            <w:tcW w:w="2656" w:type="dxa"/>
          </w:tcPr>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noProof/>
                <w:sz w:val="16"/>
                <w:szCs w:val="16"/>
                <w:lang w:eastAsia="ru-RU"/>
              </w:rPr>
              <w:drawing>
                <wp:inline distT="0" distB="0" distL="0" distR="0">
                  <wp:extent cx="681487" cy="1507371"/>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1607" cy="1507636"/>
                          </a:xfrm>
                          <a:prstGeom prst="rect">
                            <a:avLst/>
                          </a:prstGeom>
                          <a:noFill/>
                          <a:ln>
                            <a:noFill/>
                          </a:ln>
                        </pic:spPr>
                      </pic:pic>
                    </a:graphicData>
                  </a:graphic>
                </wp:inline>
              </w:drawing>
            </w:r>
          </w:p>
          <w:p w:rsidR="00CC5D02" w:rsidRPr="002B216F" w:rsidRDefault="00CC5D02" w:rsidP="002B216F">
            <w:pPr>
              <w:jc w:val="center"/>
              <w:rPr>
                <w:rFonts w:ascii="Times New Roman" w:hAnsi="Times New Roman" w:cs="Times New Roman"/>
                <w:b/>
                <w:sz w:val="16"/>
                <w:szCs w:val="16"/>
              </w:rPr>
            </w:pPr>
          </w:p>
          <w:p w:rsidR="00CC5D02" w:rsidRPr="002B216F" w:rsidRDefault="00CC5D02" w:rsidP="002B216F">
            <w:pPr>
              <w:jc w:val="center"/>
              <w:rPr>
                <w:rFonts w:ascii="Times New Roman" w:hAnsi="Times New Roman" w:cs="Times New Roman"/>
                <w:sz w:val="16"/>
                <w:szCs w:val="16"/>
              </w:rPr>
            </w:pPr>
          </w:p>
          <w:p w:rsidR="00A854BE" w:rsidRDefault="00A854BE" w:rsidP="002B216F">
            <w:pPr>
              <w:jc w:val="center"/>
              <w:rPr>
                <w:rFonts w:ascii="Times New Roman" w:hAnsi="Times New Roman" w:cs="Times New Roman"/>
                <w:sz w:val="16"/>
                <w:szCs w:val="16"/>
                <w:lang w:val="en-US"/>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Решение Суда по интеллектуальным правам от 23.10.2019 по делу № СИП-442/2019, оставлено в силе постановлением президиума Суда по интеллектуальным правам от 23.03.2019</w:t>
            </w:r>
          </w:p>
        </w:tc>
        <w:tc>
          <w:tcPr>
            <w:tcW w:w="3190" w:type="dxa"/>
          </w:tcPr>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noProof/>
                <w:sz w:val="16"/>
                <w:szCs w:val="16"/>
                <w:lang w:eastAsia="ru-RU"/>
              </w:rPr>
              <w:drawing>
                <wp:inline distT="0" distB="0" distL="0" distR="0">
                  <wp:extent cx="1889693" cy="144923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r="-304" b="49000"/>
                          <a:stretch/>
                        </pic:blipFill>
                        <pic:spPr bwMode="auto">
                          <a:xfrm>
                            <a:off x="0" y="0"/>
                            <a:ext cx="1889693" cy="144923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C5D02" w:rsidRPr="002B216F" w:rsidRDefault="00CC5D02" w:rsidP="002B216F">
            <w:pPr>
              <w:jc w:val="center"/>
              <w:rPr>
                <w:rFonts w:ascii="Times New Roman" w:hAnsi="Times New Roman" w:cs="Times New Roman"/>
                <w:sz w:val="16"/>
                <w:szCs w:val="16"/>
              </w:rPr>
            </w:pPr>
          </w:p>
          <w:p w:rsidR="00A854BE" w:rsidRPr="00A854BE" w:rsidRDefault="00A854BE" w:rsidP="00A854BE">
            <w:pPr>
              <w:rPr>
                <w:rFonts w:ascii="Times New Roman" w:hAnsi="Times New Roman" w:cs="Times New Roman"/>
                <w:sz w:val="16"/>
                <w:szCs w:val="16"/>
                <w:lang w:val="en-US"/>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Решение Суда по интеллектуальным правам от 13.08.2020 по делу № СИП-289/2020, в кассационном порядке не обжаловано</w:t>
            </w:r>
          </w:p>
        </w:tc>
        <w:tc>
          <w:tcPr>
            <w:tcW w:w="2375" w:type="dxa"/>
          </w:tcPr>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noProof/>
                <w:sz w:val="16"/>
                <w:szCs w:val="16"/>
                <w:lang w:eastAsia="ru-RU"/>
              </w:rPr>
              <w:drawing>
                <wp:inline distT="0" distB="0" distL="0" distR="0">
                  <wp:extent cx="948641" cy="1164566"/>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8531" cy="1164431"/>
                          </a:xfrm>
                          <a:prstGeom prst="rect">
                            <a:avLst/>
                          </a:prstGeom>
                          <a:noFill/>
                          <a:ln>
                            <a:noFill/>
                          </a:ln>
                        </pic:spPr>
                      </pic:pic>
                    </a:graphicData>
                  </a:graphic>
                </wp:inline>
              </w:drawing>
            </w: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Решение Суда по интеллектуальным правам от 19.03.2020 по делу № СИП-948/2019, оставлено в силе постановлением президиума Суда по интеллектуальным правам от 13.07.2020</w:t>
            </w:r>
          </w:p>
        </w:tc>
      </w:tr>
    </w:tbl>
    <w:p w:rsidR="00CC5D02" w:rsidRPr="00CC5D02" w:rsidRDefault="00CC5D02" w:rsidP="00CC5D02">
      <w:pPr>
        <w:spacing w:after="0" w:line="360" w:lineRule="auto"/>
        <w:ind w:firstLine="708"/>
        <w:jc w:val="both"/>
        <w:rPr>
          <w:rFonts w:ascii="Times New Roman" w:hAnsi="Times New Roman" w:cs="Times New Roman"/>
          <w:sz w:val="28"/>
          <w:szCs w:val="28"/>
        </w:rPr>
      </w:pP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В ситуации, в которой объемная форма сочеталась с изобразительным обозначением, Суд по интеллектуальным правам опроверг вывод Роспатента о функциональности формы товара (</w:t>
      </w:r>
      <w:r w:rsidRPr="00CC5D02">
        <w:rPr>
          <w:rFonts w:ascii="Times New Roman" w:hAnsi="Times New Roman" w:cs="Times New Roman"/>
          <w:i/>
          <w:sz w:val="28"/>
          <w:szCs w:val="28"/>
        </w:rPr>
        <w:t xml:space="preserve">решение Суда по интеллектуальным правам от 19.03.2020 по делу № СИП-948/2019, оставлено в силе </w:t>
      </w:r>
      <w:r w:rsidRPr="00CC5D02">
        <w:rPr>
          <w:rFonts w:ascii="Times New Roman" w:hAnsi="Times New Roman" w:cs="Times New Roman"/>
          <w:i/>
          <w:sz w:val="28"/>
          <w:szCs w:val="28"/>
        </w:rPr>
        <w:lastRenderedPageBreak/>
        <w:t xml:space="preserve">постановлением президиума Суда по интеллектуальным правам от 13.07.2020). </w:t>
      </w:r>
      <w:r w:rsidRPr="00CC5D02">
        <w:rPr>
          <w:rFonts w:ascii="Times New Roman" w:hAnsi="Times New Roman" w:cs="Times New Roman"/>
          <w:sz w:val="28"/>
          <w:szCs w:val="28"/>
        </w:rPr>
        <w:t xml:space="preserve">При этом следует отметить, что суд учел не только важную роль графической стилизации, но и неотмеченную ранее деталь формы товара, выполненную в форме ручки ведерка, которая придавала этой форме оригинальность. В данном случае сочетание «голой» формы и изобразительного элемента, расположенного на всей ее поверхности, могло иметь различительную способность.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Цвет, в котором исполнена форма, может рассматриваться как отдельный элемент обозначения, когда это имеет значение для оценки обозначения </w:t>
      </w:r>
      <w:r w:rsidRPr="00CC5D02">
        <w:rPr>
          <w:rFonts w:ascii="Times New Roman" w:hAnsi="Times New Roman" w:cs="Times New Roman"/>
          <w:i/>
          <w:sz w:val="28"/>
          <w:szCs w:val="28"/>
        </w:rPr>
        <w:t>(постановление президиума Суда по интеллектуальным правам от 20.05.2019 по делу № СИП-434/2018),</w:t>
      </w:r>
      <w:r w:rsidRPr="00CC5D02">
        <w:rPr>
          <w:rFonts w:ascii="Times New Roman" w:hAnsi="Times New Roman" w:cs="Times New Roman"/>
          <w:sz w:val="28"/>
          <w:szCs w:val="28"/>
        </w:rPr>
        <w:t xml:space="preserve"> а может не найти отдельного упоминания в определении характеристик формы </w:t>
      </w:r>
      <w:r w:rsidRPr="00CC5D02">
        <w:rPr>
          <w:rFonts w:ascii="Times New Roman" w:hAnsi="Times New Roman" w:cs="Times New Roman"/>
          <w:i/>
          <w:sz w:val="28"/>
          <w:szCs w:val="28"/>
        </w:rPr>
        <w:t>(постановление президиума Суда по интеллектуальным правам от 05.03.2021 по делу № СИП-1087/2019)</w:t>
      </w:r>
      <w:r w:rsidRPr="00CC5D02">
        <w:rPr>
          <w:rFonts w:ascii="Times New Roman" w:hAnsi="Times New Roman" w:cs="Times New Roman"/>
          <w:sz w:val="28"/>
          <w:szCs w:val="28"/>
        </w:rPr>
        <w:t>.</w:t>
      </w:r>
    </w:p>
    <w:tbl>
      <w:tblPr>
        <w:tblStyle w:val="af4"/>
        <w:tblW w:w="0" w:type="auto"/>
        <w:tblInd w:w="1951" w:type="dxa"/>
        <w:tblBorders>
          <w:top w:val="none" w:sz="0" w:space="0" w:color="auto"/>
          <w:left w:val="none" w:sz="0" w:space="0" w:color="auto"/>
          <w:bottom w:val="none" w:sz="0" w:space="0" w:color="auto"/>
          <w:right w:val="none" w:sz="0" w:space="0" w:color="auto"/>
          <w:insideH w:val="none" w:sz="0" w:space="0" w:color="auto"/>
        </w:tblBorders>
        <w:tblLook w:val="04A0"/>
      </w:tblPr>
      <w:tblGrid>
        <w:gridCol w:w="2834"/>
        <w:gridCol w:w="2836"/>
      </w:tblGrid>
      <w:tr w:rsidR="00CC5D02" w:rsidRPr="00CC5D02" w:rsidTr="002B216F">
        <w:tc>
          <w:tcPr>
            <w:tcW w:w="2834" w:type="dxa"/>
          </w:tcPr>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noProof/>
                <w:sz w:val="16"/>
                <w:szCs w:val="16"/>
                <w:lang w:eastAsia="ru-RU"/>
              </w:rPr>
              <w:drawing>
                <wp:inline distT="0" distB="0" distL="0" distR="0">
                  <wp:extent cx="857250" cy="1343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0" cy="1343025"/>
                          </a:xfrm>
                          <a:prstGeom prst="rect">
                            <a:avLst/>
                          </a:prstGeom>
                          <a:noFill/>
                          <a:ln>
                            <a:noFill/>
                          </a:ln>
                        </pic:spPr>
                      </pic:pic>
                    </a:graphicData>
                  </a:graphic>
                </wp:inline>
              </w:drawing>
            </w: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Суд рассмотрел темно-коричневый цвет как отдельную характеристику обозначения</w:t>
            </w: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Постановление президиума Суда по интеллектуальным правам от 20.05.2019 по делу № СИП-434/2018</w:t>
            </w:r>
          </w:p>
        </w:tc>
        <w:tc>
          <w:tcPr>
            <w:tcW w:w="2836" w:type="dxa"/>
          </w:tcPr>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noProof/>
                <w:sz w:val="16"/>
                <w:szCs w:val="16"/>
                <w:lang w:eastAsia="ru-RU"/>
              </w:rPr>
              <w:drawing>
                <wp:inline distT="0" distB="0" distL="0" distR="0">
                  <wp:extent cx="1196194" cy="1345720"/>
                  <wp:effectExtent l="0" t="0" r="444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8605" t="18201" r="16279" b="5354"/>
                          <a:stretch/>
                        </pic:blipFill>
                        <pic:spPr bwMode="auto">
                          <a:xfrm>
                            <a:off x="0" y="0"/>
                            <a:ext cx="1203178" cy="13535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Суд не рассматривал бежевый (древесный) цвет обозначения как отдельную характеристику</w:t>
            </w: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Постановление президиума Суда по интеллектуальным правам от 05.03.2021 по делу № СИП-1087/2019</w:t>
            </w:r>
          </w:p>
        </w:tc>
      </w:tr>
    </w:tbl>
    <w:p w:rsidR="00CC5D02" w:rsidRPr="00CC5D02" w:rsidRDefault="00CC5D02" w:rsidP="00CC5D02">
      <w:pPr>
        <w:spacing w:after="0" w:line="360" w:lineRule="auto"/>
        <w:ind w:firstLine="708"/>
        <w:jc w:val="both"/>
        <w:rPr>
          <w:rFonts w:ascii="Times New Roman" w:hAnsi="Times New Roman" w:cs="Times New Roman"/>
          <w:sz w:val="28"/>
          <w:szCs w:val="28"/>
        </w:rPr>
      </w:pPr>
    </w:p>
    <w:p w:rsidR="00CC5D02" w:rsidRPr="00CC5D02" w:rsidRDefault="00CC5D02" w:rsidP="00CC5D02">
      <w:pPr>
        <w:numPr>
          <w:ilvl w:val="1"/>
          <w:numId w:val="34"/>
        </w:numPr>
        <w:spacing w:after="0" w:line="360" w:lineRule="auto"/>
        <w:jc w:val="both"/>
        <w:rPr>
          <w:rFonts w:ascii="Times New Roman" w:hAnsi="Times New Roman" w:cs="Times New Roman"/>
          <w:b/>
          <w:bCs/>
          <w:sz w:val="28"/>
          <w:szCs w:val="28"/>
        </w:rPr>
      </w:pPr>
      <w:r w:rsidRPr="00CC5D02">
        <w:rPr>
          <w:rFonts w:ascii="Times New Roman" w:hAnsi="Times New Roman" w:cs="Times New Roman"/>
          <w:b/>
          <w:bCs/>
          <w:sz w:val="28"/>
          <w:szCs w:val="28"/>
          <w:lang w:val="en-US"/>
        </w:rPr>
        <w:t> </w:t>
      </w:r>
      <w:r w:rsidRPr="00CC5D02">
        <w:rPr>
          <w:rFonts w:ascii="Times New Roman" w:hAnsi="Times New Roman" w:cs="Times New Roman"/>
          <w:b/>
          <w:bCs/>
          <w:sz w:val="28"/>
          <w:szCs w:val="28"/>
        </w:rPr>
        <w:t>Венская классификация</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Российская Федерация не является стороной Соглашения, учредившего Международную классификацию изобразительных элементов знаков (заключено в Вене 12.06.1973, далее – Венское соглашение). Несмотря на это, Роспатент учитывает Венское соглашение при предоставлении правовой охраны на территории Российской Федерации товарным знакам по международной регистрации и в отдельных случаях – для идентификации </w:t>
      </w:r>
      <w:r w:rsidRPr="00CC5D02">
        <w:rPr>
          <w:rFonts w:ascii="Times New Roman" w:hAnsi="Times New Roman" w:cs="Times New Roman"/>
          <w:sz w:val="28"/>
          <w:szCs w:val="28"/>
        </w:rPr>
        <w:lastRenderedPageBreak/>
        <w:t>изобразительных элементов (</w:t>
      </w:r>
      <w:r w:rsidRPr="00CC5D02">
        <w:rPr>
          <w:rFonts w:ascii="Times New Roman" w:hAnsi="Times New Roman" w:cs="Times New Roman"/>
          <w:i/>
          <w:sz w:val="28"/>
          <w:szCs w:val="28"/>
        </w:rPr>
        <w:t xml:space="preserve">решения Роспатента от </w:t>
      </w:r>
      <w:r w:rsidRPr="002B216F">
        <w:rPr>
          <w:rFonts w:ascii="Times New Roman" w:hAnsi="Times New Roman" w:cs="Times New Roman"/>
          <w:i/>
          <w:sz w:val="28"/>
          <w:szCs w:val="28"/>
        </w:rPr>
        <w:t>30.04.2014</w:t>
      </w:r>
      <w:r w:rsidRPr="00CC5D02">
        <w:rPr>
          <w:rFonts w:ascii="Times New Roman" w:hAnsi="Times New Roman" w:cs="Times New Roman"/>
          <w:i/>
          <w:sz w:val="28"/>
          <w:szCs w:val="28"/>
        </w:rPr>
        <w:t xml:space="preserve"> по заявке № 2012724286, от </w:t>
      </w:r>
      <w:r w:rsidRPr="002B216F">
        <w:rPr>
          <w:rFonts w:ascii="Times New Roman" w:hAnsi="Times New Roman" w:cs="Times New Roman"/>
          <w:i/>
          <w:sz w:val="28"/>
          <w:szCs w:val="28"/>
        </w:rPr>
        <w:t>27.05.2019</w:t>
      </w:r>
      <w:r w:rsidRPr="00CC5D02">
        <w:rPr>
          <w:rFonts w:ascii="Times New Roman" w:hAnsi="Times New Roman" w:cs="Times New Roman"/>
          <w:i/>
          <w:sz w:val="28"/>
          <w:szCs w:val="28"/>
        </w:rPr>
        <w:t xml:space="preserve"> по заявке № 2016715233 и др.</w:t>
      </w:r>
      <w:r w:rsidRPr="00CC5D02">
        <w:rPr>
          <w:rFonts w:ascii="Times New Roman" w:hAnsi="Times New Roman" w:cs="Times New Roman"/>
          <w:sz w:val="28"/>
          <w:szCs w:val="28"/>
        </w:rPr>
        <w:t xml:space="preserve">).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Положения Венского соглашения</w:t>
      </w:r>
      <w:r w:rsidRPr="00CC5D02" w:rsidDel="00FD0640">
        <w:rPr>
          <w:rFonts w:ascii="Times New Roman" w:hAnsi="Times New Roman" w:cs="Times New Roman"/>
          <w:sz w:val="28"/>
          <w:szCs w:val="28"/>
        </w:rPr>
        <w:t xml:space="preserve"> </w:t>
      </w:r>
      <w:r w:rsidRPr="00CC5D02">
        <w:rPr>
          <w:rFonts w:ascii="Times New Roman" w:hAnsi="Times New Roman" w:cs="Times New Roman"/>
          <w:sz w:val="28"/>
          <w:szCs w:val="28"/>
        </w:rPr>
        <w:t xml:space="preserve">в некоторых случаях учитываются Судом по интеллектуальным правам. </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4479"/>
        <w:gridCol w:w="4480"/>
      </w:tblGrid>
      <w:tr w:rsidR="00CC5D02" w:rsidRPr="00CC5D02" w:rsidTr="002B216F">
        <w:trPr>
          <w:trHeight w:val="2989"/>
          <w:jc w:val="center"/>
        </w:trPr>
        <w:tc>
          <w:tcPr>
            <w:tcW w:w="4479" w:type="dxa"/>
          </w:tcPr>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noProof/>
                <w:sz w:val="16"/>
                <w:szCs w:val="16"/>
                <w:lang w:eastAsia="ru-RU"/>
              </w:rPr>
              <w:drawing>
                <wp:inline distT="0" distB="0" distL="0" distR="0">
                  <wp:extent cx="1610020" cy="1483744"/>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6795" cy="1480772"/>
                          </a:xfrm>
                          <a:prstGeom prst="rect">
                            <a:avLst/>
                          </a:prstGeom>
                          <a:noFill/>
                          <a:ln>
                            <a:noFill/>
                          </a:ln>
                        </pic:spPr>
                      </pic:pic>
                    </a:graphicData>
                  </a:graphic>
                </wp:inline>
              </w:drawing>
            </w: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Постановление президиума Суда по интеллектуальным правам от 23.10.2017 по делу № СИП-87/2017</w:t>
            </w:r>
          </w:p>
        </w:tc>
        <w:tc>
          <w:tcPr>
            <w:tcW w:w="4480" w:type="dxa"/>
          </w:tcPr>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noProof/>
                <w:sz w:val="16"/>
                <w:szCs w:val="16"/>
                <w:lang w:eastAsia="ru-RU"/>
              </w:rPr>
              <w:drawing>
                <wp:inline distT="0" distB="0" distL="0" distR="0">
                  <wp:extent cx="1397635" cy="13976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635" cy="1397635"/>
                          </a:xfrm>
                          <a:prstGeom prst="rect">
                            <a:avLst/>
                          </a:prstGeom>
                          <a:noFill/>
                          <a:ln>
                            <a:noFill/>
                          </a:ln>
                        </pic:spPr>
                      </pic:pic>
                    </a:graphicData>
                  </a:graphic>
                </wp:inline>
              </w:drawing>
            </w: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p>
          <w:p w:rsidR="00CC5D02" w:rsidRPr="002B216F" w:rsidRDefault="00CC5D02" w:rsidP="002B216F">
            <w:pPr>
              <w:jc w:val="center"/>
              <w:rPr>
                <w:rFonts w:ascii="Times New Roman" w:hAnsi="Times New Roman" w:cs="Times New Roman"/>
                <w:sz w:val="16"/>
                <w:szCs w:val="16"/>
              </w:rPr>
            </w:pPr>
            <w:r w:rsidRPr="002B216F">
              <w:rPr>
                <w:rFonts w:ascii="Times New Roman" w:hAnsi="Times New Roman" w:cs="Times New Roman"/>
                <w:sz w:val="16"/>
                <w:szCs w:val="16"/>
              </w:rPr>
              <w:t>Постановление президиума Суда по интеллектуальным правам от 14.12.2020 по делу № СИП-300/2020</w:t>
            </w:r>
          </w:p>
        </w:tc>
      </w:tr>
    </w:tbl>
    <w:p w:rsidR="00CC5D02" w:rsidRPr="00CC5D02" w:rsidRDefault="00CC5D02" w:rsidP="00CC5D02">
      <w:pPr>
        <w:spacing w:after="0" w:line="360" w:lineRule="auto"/>
        <w:ind w:firstLine="708"/>
        <w:jc w:val="both"/>
        <w:rPr>
          <w:rFonts w:ascii="Times New Roman" w:hAnsi="Times New Roman" w:cs="Times New Roman"/>
          <w:sz w:val="28"/>
          <w:szCs w:val="28"/>
        </w:rPr>
      </w:pP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Первое дело касалось реалистичного изображения предмета в составе комбинированного двухмерного обозначения</w:t>
      </w:r>
      <w:r w:rsidRPr="00CC5D02">
        <w:rPr>
          <w:rFonts w:ascii="Times New Roman" w:hAnsi="Times New Roman" w:cs="Times New Roman"/>
          <w:i/>
          <w:sz w:val="28"/>
          <w:szCs w:val="28"/>
        </w:rPr>
        <w:t xml:space="preserve"> </w:t>
      </w:r>
      <w:r w:rsidRPr="00CC5D02">
        <w:rPr>
          <w:rFonts w:ascii="Times New Roman" w:hAnsi="Times New Roman" w:cs="Times New Roman"/>
          <w:sz w:val="28"/>
          <w:szCs w:val="28"/>
        </w:rPr>
        <w:t>(</w:t>
      </w:r>
      <w:r w:rsidRPr="00CC5D02">
        <w:rPr>
          <w:rFonts w:ascii="Times New Roman" w:hAnsi="Times New Roman" w:cs="Times New Roman"/>
          <w:i/>
          <w:sz w:val="28"/>
          <w:szCs w:val="28"/>
        </w:rPr>
        <w:t>постановление президиума Суда по интеллектуальным правам от 14.12.2020 по делу № СИП-300/2020</w:t>
      </w:r>
      <w:r w:rsidRPr="00CC5D02">
        <w:rPr>
          <w:rFonts w:ascii="Times New Roman" w:hAnsi="Times New Roman" w:cs="Times New Roman"/>
          <w:sz w:val="28"/>
          <w:szCs w:val="28"/>
        </w:rPr>
        <w:t>)</w:t>
      </w:r>
      <w:r w:rsidRPr="00CC5D02">
        <w:rPr>
          <w:rFonts w:ascii="Times New Roman" w:hAnsi="Times New Roman" w:cs="Times New Roman"/>
          <w:i/>
          <w:sz w:val="28"/>
          <w:szCs w:val="28"/>
        </w:rPr>
        <w:t xml:space="preserve">. </w:t>
      </w:r>
      <w:r w:rsidRPr="00CC5D02">
        <w:rPr>
          <w:rFonts w:ascii="Times New Roman" w:hAnsi="Times New Roman" w:cs="Times New Roman"/>
          <w:sz w:val="28"/>
          <w:szCs w:val="28"/>
        </w:rPr>
        <w:t>Второе дело касалось вопроса объема правовой охраны, предоставленной трехмерному обозначению, заявленному через Мадридскую международную систему регистрации (</w:t>
      </w:r>
      <w:r w:rsidRPr="00CC5D02">
        <w:rPr>
          <w:rFonts w:ascii="Times New Roman" w:hAnsi="Times New Roman" w:cs="Times New Roman"/>
          <w:i/>
          <w:sz w:val="28"/>
          <w:szCs w:val="28"/>
        </w:rPr>
        <w:t>постановление президиума Суда по интеллектуальным правам от 23.10.2017 по делу № СИП-87/2017</w:t>
      </w:r>
      <w:r w:rsidRPr="00CC5D02">
        <w:rPr>
          <w:rFonts w:ascii="Times New Roman" w:hAnsi="Times New Roman" w:cs="Times New Roman"/>
          <w:sz w:val="28"/>
          <w:szCs w:val="28"/>
        </w:rPr>
        <w:t>). Это обозначение было выполнено в форме бутылки шампанского с вырезанной в ее поверхности лентой, окрашенной в красный цвет. На поверхности бутылки также было расположено несколько плоских изобразительных элементов. Отсутствие отдельного упоминания вырезанной красной ленты среди изобразительных элементов в международной заявке способствовало выводу о том, что этот элемент был неразрывно связан с формой бутылки и не мог быть назван самостоятельным.</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Необходимо подчеркнуть, что согласно статье 4 Венского соглашения «страна Специального союза вправе сама определять объем использования Классификации изобразительных элементов. В частности, Классификация изобразительных элементов не связывает страны Специального союза в </w:t>
      </w:r>
      <w:r w:rsidRPr="00CC5D02">
        <w:rPr>
          <w:rFonts w:ascii="Times New Roman" w:hAnsi="Times New Roman" w:cs="Times New Roman"/>
          <w:sz w:val="28"/>
          <w:szCs w:val="28"/>
        </w:rPr>
        <w:lastRenderedPageBreak/>
        <w:t>отношении объема охраны товарных знаков в этих странах». Таким образом, каждая страна-участница может определять ту меру, в которой Венское соглашение будет использовано.</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Вместе с тем цели Венского соглашения ограничены: «упростить поиск схожих и тождественных товарных знаков и избежать трудоемкой </w:t>
      </w:r>
      <w:proofErr w:type="spellStart"/>
      <w:r w:rsidRPr="00CC5D02">
        <w:rPr>
          <w:rFonts w:ascii="Times New Roman" w:hAnsi="Times New Roman" w:cs="Times New Roman"/>
          <w:sz w:val="28"/>
          <w:szCs w:val="28"/>
        </w:rPr>
        <w:t>реклассификации</w:t>
      </w:r>
      <w:proofErr w:type="spellEnd"/>
      <w:r w:rsidRPr="00CC5D02">
        <w:rPr>
          <w:rFonts w:ascii="Times New Roman" w:hAnsi="Times New Roman" w:cs="Times New Roman"/>
          <w:sz w:val="28"/>
          <w:szCs w:val="28"/>
        </w:rPr>
        <w:t xml:space="preserve"> при обмене документами на международном уровне»</w:t>
      </w:r>
      <w:r w:rsidRPr="00CC5D02">
        <w:rPr>
          <w:rFonts w:ascii="Times New Roman" w:hAnsi="Times New Roman" w:cs="Times New Roman"/>
          <w:sz w:val="28"/>
          <w:szCs w:val="28"/>
          <w:vertAlign w:val="superscript"/>
        </w:rPr>
        <w:footnoteReference w:id="8"/>
      </w:r>
      <w:r w:rsidRPr="00CC5D02">
        <w:rPr>
          <w:rFonts w:ascii="Times New Roman" w:hAnsi="Times New Roman" w:cs="Times New Roman"/>
          <w:sz w:val="28"/>
          <w:szCs w:val="28"/>
        </w:rPr>
        <w:t xml:space="preserve">. Следовательно, Венское соглашение используется в основном ведомствами в рамках их деятельности, а также любым заинтересованным лицом для поиска зарегистрированных ранее обозначений.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В целом следует отметить, что предусмотренные в Венском соглашении категории изобразительных элементов не отличают объемные обозначения или изображения от плоских. Так, игрушечные машинки и плоские изображения машин входят в единый класс «транспорт» (категория 18)</w:t>
      </w:r>
      <w:r w:rsidRPr="00CC5D02">
        <w:rPr>
          <w:rFonts w:ascii="Times New Roman" w:hAnsi="Times New Roman" w:cs="Times New Roman"/>
          <w:sz w:val="28"/>
          <w:szCs w:val="28"/>
          <w:vertAlign w:val="superscript"/>
        </w:rPr>
        <w:footnoteReference w:id="9"/>
      </w:r>
      <w:r w:rsidRPr="00CC5D02">
        <w:rPr>
          <w:rFonts w:ascii="Times New Roman" w:hAnsi="Times New Roman" w:cs="Times New Roman"/>
          <w:sz w:val="28"/>
          <w:szCs w:val="28"/>
        </w:rPr>
        <w:t>. К подклассу игрушек относятся объекты и изображения игральных карт, домино, паззлов, воздушных шаров и т.д. (категория 21.1). Отдельный класс предусмотрен для упаковок, бутылок и флаконов (категория 19), другой – для декоративных узоров, поверхностей и фонов с орнаментом (категория 25). Как отмечает Руководство пользователя Венского соглашения, «если обозначение включает в себя несколько изобразительных элементов, каждый из которых обладает собственной различительной способностью и которые могут быть определены в разные категории, подклассы и секции, эти изобразительные элементы определяются в соответствующие категории, подклассы и секции»</w:t>
      </w:r>
      <w:r w:rsidRPr="00CC5D02">
        <w:rPr>
          <w:rFonts w:ascii="Times New Roman" w:hAnsi="Times New Roman" w:cs="Times New Roman"/>
          <w:sz w:val="28"/>
          <w:szCs w:val="28"/>
          <w:vertAlign w:val="superscript"/>
        </w:rPr>
        <w:footnoteReference w:id="10"/>
      </w:r>
      <w:r w:rsidRPr="00CC5D02">
        <w:rPr>
          <w:rFonts w:ascii="Times New Roman" w:hAnsi="Times New Roman" w:cs="Times New Roman"/>
          <w:sz w:val="28"/>
          <w:szCs w:val="28"/>
        </w:rPr>
        <w:t xml:space="preserve">. </w:t>
      </w:r>
    </w:p>
    <w:p w:rsidR="00CC5D02" w:rsidRDefault="00CC5D02" w:rsidP="00CC5D02">
      <w:pPr>
        <w:spacing w:after="0" w:line="360" w:lineRule="auto"/>
        <w:ind w:firstLine="708"/>
        <w:jc w:val="both"/>
        <w:rPr>
          <w:rFonts w:ascii="Times New Roman" w:hAnsi="Times New Roman" w:cs="Times New Roman"/>
          <w:sz w:val="28"/>
          <w:szCs w:val="28"/>
          <w:lang w:val="en-US"/>
        </w:rPr>
      </w:pPr>
      <w:r w:rsidRPr="00CC5D02">
        <w:rPr>
          <w:rFonts w:ascii="Times New Roman" w:hAnsi="Times New Roman" w:cs="Times New Roman"/>
          <w:sz w:val="28"/>
          <w:szCs w:val="28"/>
        </w:rPr>
        <w:t xml:space="preserve">Следовательно, при отсылке к Венскому соглашению следует учитывать, что учрежденная этим соглашением классификация является </w:t>
      </w:r>
      <w:r w:rsidRPr="00CC5D02">
        <w:rPr>
          <w:rFonts w:ascii="Times New Roman" w:hAnsi="Times New Roman" w:cs="Times New Roman"/>
          <w:sz w:val="28"/>
          <w:szCs w:val="28"/>
        </w:rPr>
        <w:lastRenderedPageBreak/>
        <w:t>административным инструментом, категории которого ведомства могут выбирать и исправлять сами в отношении каждой заявки.</w:t>
      </w:r>
    </w:p>
    <w:p w:rsidR="002C10B7" w:rsidRPr="002C10B7" w:rsidRDefault="002C10B7" w:rsidP="00CC5D02">
      <w:pPr>
        <w:spacing w:after="0" w:line="360" w:lineRule="auto"/>
        <w:ind w:firstLine="708"/>
        <w:jc w:val="both"/>
        <w:rPr>
          <w:rFonts w:ascii="Times New Roman" w:hAnsi="Times New Roman" w:cs="Times New Roman"/>
          <w:sz w:val="28"/>
          <w:szCs w:val="28"/>
          <w:lang w:val="en-US"/>
        </w:rPr>
      </w:pPr>
    </w:p>
    <w:p w:rsidR="00CC5D02" w:rsidRPr="00CC5D02" w:rsidRDefault="00CC5D02" w:rsidP="00CC5D02">
      <w:pPr>
        <w:numPr>
          <w:ilvl w:val="0"/>
          <w:numId w:val="34"/>
        </w:numPr>
        <w:spacing w:after="0" w:line="360" w:lineRule="auto"/>
        <w:jc w:val="both"/>
        <w:rPr>
          <w:rFonts w:ascii="Times New Roman" w:hAnsi="Times New Roman" w:cs="Times New Roman"/>
          <w:b/>
          <w:bCs/>
          <w:sz w:val="28"/>
          <w:szCs w:val="28"/>
        </w:rPr>
      </w:pPr>
      <w:bookmarkStart w:id="0" w:name="_Toc65140076"/>
      <w:r w:rsidRPr="00CC5D02">
        <w:rPr>
          <w:rFonts w:ascii="Times New Roman" w:hAnsi="Times New Roman" w:cs="Times New Roman"/>
          <w:b/>
          <w:bCs/>
          <w:sz w:val="28"/>
          <w:szCs w:val="28"/>
        </w:rPr>
        <w:t>Обзор законодательства и практики в Европейском союзе</w:t>
      </w:r>
      <w:bookmarkEnd w:id="0"/>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В праве Европейского союза (далее – ЕС) единое и самостоятельное определение «формы», которое встречается в нескольких положениях законодательства</w:t>
      </w:r>
      <w:r w:rsidRPr="00CC5D02">
        <w:rPr>
          <w:rFonts w:ascii="Times New Roman" w:hAnsi="Times New Roman" w:cs="Times New Roman"/>
          <w:sz w:val="28"/>
          <w:szCs w:val="28"/>
          <w:vertAlign w:val="superscript"/>
        </w:rPr>
        <w:footnoteReference w:id="11"/>
      </w:r>
      <w:r w:rsidRPr="00CC5D02">
        <w:rPr>
          <w:rFonts w:ascii="Times New Roman" w:hAnsi="Times New Roman" w:cs="Times New Roman"/>
          <w:sz w:val="28"/>
          <w:szCs w:val="28"/>
        </w:rPr>
        <w:t xml:space="preserve"> (но не раскрывается), было закреплено сравнительно недавно. Суд ЕС истолковал этот термин как «совокупность линий и контуров, которые определяют границы соответствующего товара в пространстве» (</w:t>
      </w:r>
      <w:r w:rsidRPr="00CC5D02">
        <w:rPr>
          <w:rFonts w:ascii="Times New Roman" w:hAnsi="Times New Roman" w:cs="Times New Roman"/>
          <w:i/>
          <w:sz w:val="28"/>
          <w:szCs w:val="28"/>
        </w:rPr>
        <w:t xml:space="preserve">Суд ЕС, 12.06.2018, дело C-163/16, </w:t>
      </w:r>
      <w:proofErr w:type="spellStart"/>
      <w:r w:rsidRPr="00CC5D02">
        <w:rPr>
          <w:rFonts w:ascii="Times New Roman" w:hAnsi="Times New Roman" w:cs="Times New Roman"/>
          <w:i/>
          <w:sz w:val="28"/>
          <w:szCs w:val="28"/>
        </w:rPr>
        <w:t>Louboutin</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c</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Van</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Haren</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Schoenen</w:t>
      </w:r>
      <w:proofErr w:type="spellEnd"/>
      <w:r w:rsidRPr="00CC5D02">
        <w:rPr>
          <w:rFonts w:ascii="Times New Roman" w:hAnsi="Times New Roman" w:cs="Times New Roman"/>
          <w:i/>
          <w:sz w:val="28"/>
          <w:szCs w:val="28"/>
        </w:rPr>
        <w:t xml:space="preserve"> BV, §</w:t>
      </w:r>
      <w:r w:rsidRPr="00CC5D02">
        <w:rPr>
          <w:rFonts w:ascii="Times New Roman" w:hAnsi="Times New Roman" w:cs="Times New Roman"/>
          <w:i/>
          <w:sz w:val="28"/>
          <w:szCs w:val="28"/>
          <w:lang w:val="fr-FR"/>
        </w:rPr>
        <w:t> </w:t>
      </w:r>
      <w:r w:rsidRPr="00CC5D02">
        <w:rPr>
          <w:rFonts w:ascii="Times New Roman" w:hAnsi="Times New Roman" w:cs="Times New Roman"/>
          <w:i/>
          <w:sz w:val="28"/>
          <w:szCs w:val="28"/>
        </w:rPr>
        <w:t>21; см. также Суд ЕС, 14.03.2019, дело C</w:t>
      </w:r>
      <w:r w:rsidRPr="00CC5D02">
        <w:rPr>
          <w:rFonts w:ascii="Times New Roman" w:hAnsi="Times New Roman" w:cs="Times New Roman"/>
          <w:i/>
          <w:sz w:val="28"/>
          <w:szCs w:val="28"/>
        </w:rPr>
        <w:noBreakHyphen/>
        <w:t xml:space="preserve">21/18, </w:t>
      </w:r>
      <w:proofErr w:type="spellStart"/>
      <w:r w:rsidRPr="00CC5D02">
        <w:rPr>
          <w:rFonts w:ascii="Times New Roman" w:hAnsi="Times New Roman" w:cs="Times New Roman"/>
          <w:i/>
          <w:sz w:val="28"/>
          <w:szCs w:val="28"/>
        </w:rPr>
        <w:t>Textilis</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Ltd</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Ozgur</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Keskin</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c</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Svenskt</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Tenn</w:t>
      </w:r>
      <w:proofErr w:type="spellEnd"/>
      <w:r w:rsidRPr="00CC5D02">
        <w:rPr>
          <w:rFonts w:ascii="Times New Roman" w:hAnsi="Times New Roman" w:cs="Times New Roman"/>
          <w:i/>
          <w:sz w:val="28"/>
          <w:szCs w:val="28"/>
        </w:rPr>
        <w:t xml:space="preserve"> AB, §</w:t>
      </w:r>
      <w:r w:rsidRPr="00CC5D02">
        <w:rPr>
          <w:rFonts w:ascii="Times New Roman" w:hAnsi="Times New Roman" w:cs="Times New Roman"/>
          <w:i/>
          <w:sz w:val="28"/>
          <w:szCs w:val="28"/>
          <w:lang w:val="fr-FR"/>
        </w:rPr>
        <w:t> </w:t>
      </w:r>
      <w:r w:rsidRPr="00CC5D02">
        <w:rPr>
          <w:rFonts w:ascii="Times New Roman" w:hAnsi="Times New Roman" w:cs="Times New Roman"/>
          <w:i/>
          <w:sz w:val="28"/>
          <w:szCs w:val="28"/>
        </w:rPr>
        <w:t>36</w:t>
      </w:r>
      <w:r w:rsidRPr="00CC5D02">
        <w:rPr>
          <w:rFonts w:ascii="Times New Roman" w:hAnsi="Times New Roman" w:cs="Times New Roman"/>
          <w:sz w:val="28"/>
          <w:szCs w:val="28"/>
        </w:rPr>
        <w:t xml:space="preserve">). Следовательно, Суд ЕС отдал предпочтение узкой трактовке, т.е. внешнему контуру изделия. В двух указанных делах спор велся о необычных обозначениях, и именно это потребовало дать определение формы. Четкое определение формы позволило уточнить, применимы ли использующие этот термин положения к спорным обозначениям.   </w:t>
      </w:r>
    </w:p>
    <w:p w:rsidR="00CC5D02" w:rsidRPr="00CC5D02" w:rsidRDefault="00CC5D02" w:rsidP="00CC5D02">
      <w:pPr>
        <w:numPr>
          <w:ilvl w:val="1"/>
          <w:numId w:val="34"/>
        </w:numPr>
        <w:spacing w:after="0" w:line="360" w:lineRule="auto"/>
        <w:jc w:val="both"/>
        <w:rPr>
          <w:rFonts w:ascii="Times New Roman" w:hAnsi="Times New Roman" w:cs="Times New Roman"/>
          <w:b/>
          <w:bCs/>
          <w:sz w:val="28"/>
          <w:szCs w:val="28"/>
        </w:rPr>
      </w:pPr>
      <w:bookmarkStart w:id="1" w:name="_Toc65140077"/>
      <w:r w:rsidRPr="00CC5D02">
        <w:rPr>
          <w:rFonts w:ascii="Times New Roman" w:hAnsi="Times New Roman" w:cs="Times New Roman"/>
          <w:b/>
          <w:bCs/>
          <w:sz w:val="28"/>
          <w:szCs w:val="28"/>
          <w:lang w:val="en-US"/>
        </w:rPr>
        <w:t> </w:t>
      </w:r>
      <w:r w:rsidRPr="00CC5D02">
        <w:rPr>
          <w:rFonts w:ascii="Times New Roman" w:hAnsi="Times New Roman" w:cs="Times New Roman"/>
          <w:b/>
          <w:bCs/>
          <w:sz w:val="28"/>
          <w:szCs w:val="28"/>
        </w:rPr>
        <w:t>Определение формы при описании обозначения</w:t>
      </w:r>
      <w:bookmarkEnd w:id="1"/>
    </w:p>
    <w:p w:rsidR="00CC5D02" w:rsidRPr="00CC5D02" w:rsidRDefault="00CC5D02" w:rsidP="00CC5D02">
      <w:pPr>
        <w:spacing w:after="0" w:line="360" w:lineRule="auto"/>
        <w:ind w:firstLine="708"/>
        <w:jc w:val="both"/>
        <w:rPr>
          <w:rFonts w:ascii="Times New Roman" w:hAnsi="Times New Roman" w:cs="Times New Roman"/>
          <w:sz w:val="28"/>
          <w:szCs w:val="28"/>
        </w:rPr>
      </w:pPr>
      <w:proofErr w:type="gramStart"/>
      <w:r w:rsidRPr="00CC5D02">
        <w:rPr>
          <w:rFonts w:ascii="Times New Roman" w:hAnsi="Times New Roman" w:cs="Times New Roman"/>
          <w:sz w:val="28"/>
          <w:szCs w:val="28"/>
        </w:rPr>
        <w:t>Законодательство ЕС прямо указывает на «форму товара или его упаковки» как на возможное обозначение</w:t>
      </w:r>
      <w:r w:rsidRPr="00CC5D02">
        <w:rPr>
          <w:rFonts w:ascii="Times New Roman" w:hAnsi="Times New Roman" w:cs="Times New Roman"/>
          <w:sz w:val="28"/>
          <w:szCs w:val="28"/>
          <w:vertAlign w:val="superscript"/>
        </w:rPr>
        <w:footnoteReference w:id="12"/>
      </w:r>
      <w:r w:rsidRPr="00CC5D02">
        <w:rPr>
          <w:rFonts w:ascii="Times New Roman" w:hAnsi="Times New Roman" w:cs="Times New Roman"/>
          <w:sz w:val="28"/>
          <w:szCs w:val="28"/>
        </w:rPr>
        <w:t>. В подзаконных актах присутствует понятие «трехмерная форма»</w:t>
      </w:r>
      <w:r w:rsidRPr="00CC5D02">
        <w:rPr>
          <w:rFonts w:ascii="Times New Roman" w:hAnsi="Times New Roman" w:cs="Times New Roman"/>
          <w:sz w:val="28"/>
          <w:szCs w:val="28"/>
          <w:vertAlign w:val="superscript"/>
        </w:rPr>
        <w:footnoteReference w:id="13"/>
      </w:r>
      <w:r w:rsidRPr="00CC5D02">
        <w:rPr>
          <w:rFonts w:ascii="Times New Roman" w:hAnsi="Times New Roman" w:cs="Times New Roman"/>
          <w:sz w:val="28"/>
          <w:szCs w:val="28"/>
        </w:rPr>
        <w:t xml:space="preserve">. На практике прибегают к понятию «объемный товарный знак», который трактуется расширительно и включает в себя не только форму товара, но и формы, содержащие слова или </w:t>
      </w:r>
      <w:r w:rsidRPr="00CC5D02">
        <w:rPr>
          <w:rFonts w:ascii="Times New Roman" w:hAnsi="Times New Roman" w:cs="Times New Roman"/>
          <w:sz w:val="28"/>
          <w:szCs w:val="28"/>
        </w:rPr>
        <w:lastRenderedPageBreak/>
        <w:t>изобразительные элементы, этикетки и т.д.</w:t>
      </w:r>
      <w:proofErr w:type="gramEnd"/>
      <w:r w:rsidRPr="00CC5D02">
        <w:rPr>
          <w:rFonts w:ascii="Times New Roman" w:hAnsi="Times New Roman" w:cs="Times New Roman"/>
          <w:sz w:val="28"/>
          <w:szCs w:val="28"/>
          <w:vertAlign w:val="superscript"/>
        </w:rPr>
        <w:footnoteReference w:id="14"/>
      </w:r>
      <w:r w:rsidRPr="00CC5D02">
        <w:rPr>
          <w:rFonts w:ascii="Times New Roman" w:hAnsi="Times New Roman" w:cs="Times New Roman"/>
          <w:sz w:val="28"/>
          <w:szCs w:val="28"/>
        </w:rPr>
        <w:t xml:space="preserve"> Для ряда стран, особенно для Германии, охрана трехмерных объектов как товарных знаков была введена только с принятием единого законодательства ЕС. Первыми охрану объемных товарных знаков ввели страны Бенилюкса в 1971 году. Это послужило основой в процессе гармонизации и унификации права на большем пространстве, уже в рамках ЕС</w:t>
      </w:r>
      <w:r w:rsidRPr="00CC5D02">
        <w:rPr>
          <w:rFonts w:ascii="Times New Roman" w:hAnsi="Times New Roman" w:cs="Times New Roman"/>
          <w:sz w:val="28"/>
          <w:szCs w:val="28"/>
          <w:vertAlign w:val="superscript"/>
        </w:rPr>
        <w:footnoteReference w:id="15"/>
      </w:r>
      <w:r w:rsidRPr="00CC5D02">
        <w:rPr>
          <w:rFonts w:ascii="Times New Roman" w:hAnsi="Times New Roman" w:cs="Times New Roman"/>
          <w:sz w:val="28"/>
          <w:szCs w:val="28"/>
        </w:rPr>
        <w:t xml:space="preserve">. Несмотря на сближение законодательств, подходы в разных странах все еще могут иметь отличия. Однако они касаются, скорее, систематики и строгости оценки условий </w:t>
      </w:r>
      <w:proofErr w:type="spellStart"/>
      <w:r w:rsidRPr="00CC5D02">
        <w:rPr>
          <w:rFonts w:ascii="Times New Roman" w:hAnsi="Times New Roman" w:cs="Times New Roman"/>
          <w:sz w:val="28"/>
          <w:szCs w:val="28"/>
        </w:rPr>
        <w:t>охраноспособности</w:t>
      </w:r>
      <w:proofErr w:type="spellEnd"/>
      <w:r w:rsidRPr="00CC5D02">
        <w:rPr>
          <w:rFonts w:ascii="Times New Roman" w:hAnsi="Times New Roman" w:cs="Times New Roman"/>
          <w:sz w:val="28"/>
          <w:szCs w:val="28"/>
        </w:rPr>
        <w:t xml:space="preserve"> таких обозначений судами и уполномоченными ведомствами, нежели подхода к определению формы как таковой</w:t>
      </w:r>
      <w:r w:rsidRPr="00CC5D02">
        <w:rPr>
          <w:rFonts w:ascii="Times New Roman" w:hAnsi="Times New Roman" w:cs="Times New Roman"/>
          <w:sz w:val="28"/>
          <w:szCs w:val="28"/>
          <w:vertAlign w:val="superscript"/>
        </w:rPr>
        <w:footnoteReference w:id="16"/>
      </w:r>
      <w:r w:rsidRPr="00CC5D02">
        <w:rPr>
          <w:rFonts w:ascii="Times New Roman" w:hAnsi="Times New Roman" w:cs="Times New Roman"/>
          <w:sz w:val="28"/>
          <w:szCs w:val="28"/>
        </w:rPr>
        <w:t xml:space="preserve">.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ЕС не участвует в Венском соглашении, но применяет в своей деятельности его адаптированную версию и таким образом предоставляет поиск по реестру своего ведомства по категориям изображений, установленным в Соглашении, с некоторыми изменениями. Ни в одном рассмотренном решении Суда ЕС и французских судов Венское соглашение не упоминалось, а специалисты подчеркивают исключительно административный характер принятой этим соглашением классификации</w:t>
      </w:r>
      <w:r w:rsidRPr="00CC5D02">
        <w:rPr>
          <w:rFonts w:ascii="Times New Roman" w:hAnsi="Times New Roman" w:cs="Times New Roman"/>
          <w:sz w:val="28"/>
          <w:szCs w:val="28"/>
          <w:vertAlign w:val="superscript"/>
        </w:rPr>
        <w:footnoteReference w:id="17"/>
      </w:r>
      <w:r w:rsidRPr="00CC5D02">
        <w:rPr>
          <w:rFonts w:ascii="Times New Roman" w:hAnsi="Times New Roman" w:cs="Times New Roman"/>
          <w:sz w:val="28"/>
          <w:szCs w:val="28"/>
        </w:rPr>
        <w:t>.</w:t>
      </w:r>
    </w:p>
    <w:p w:rsidR="00CC5D02" w:rsidRDefault="00CC5D02" w:rsidP="00CC5D02">
      <w:pPr>
        <w:spacing w:after="0" w:line="360" w:lineRule="auto"/>
        <w:ind w:firstLine="708"/>
        <w:jc w:val="both"/>
        <w:rPr>
          <w:rFonts w:ascii="Times New Roman" w:hAnsi="Times New Roman" w:cs="Times New Roman"/>
          <w:sz w:val="28"/>
          <w:szCs w:val="28"/>
          <w:lang w:val="en-US"/>
        </w:rPr>
      </w:pPr>
      <w:r w:rsidRPr="00CC5D02">
        <w:rPr>
          <w:rFonts w:ascii="Times New Roman" w:hAnsi="Times New Roman" w:cs="Times New Roman"/>
          <w:sz w:val="28"/>
          <w:szCs w:val="28"/>
        </w:rPr>
        <w:t>В практике Суда ЕС можно отметить, что изобразительное обозначение, в котором представлен указанный в заявке товар, может также быть определено как объемное изображение этого товара (пример: двухмерное изображение лезвия ножа с гравировкой (</w:t>
      </w:r>
      <w:r w:rsidRPr="00CC5D02">
        <w:rPr>
          <w:rFonts w:ascii="Times New Roman" w:hAnsi="Times New Roman" w:cs="Times New Roman"/>
          <w:i/>
          <w:sz w:val="28"/>
          <w:szCs w:val="28"/>
        </w:rPr>
        <w:t xml:space="preserve">Суд ЕС, 06.03.2014, объединенные дела С-337/12 P – C-340/12 P, </w:t>
      </w:r>
      <w:proofErr w:type="spellStart"/>
      <w:r w:rsidRPr="00CC5D02">
        <w:rPr>
          <w:rFonts w:ascii="Times New Roman" w:hAnsi="Times New Roman" w:cs="Times New Roman"/>
          <w:i/>
          <w:sz w:val="28"/>
          <w:szCs w:val="28"/>
        </w:rPr>
        <w:t>Pi-Design</w:t>
      </w:r>
      <w:proofErr w:type="spellEnd"/>
      <w:r w:rsidRPr="00CC5D02">
        <w:rPr>
          <w:rFonts w:ascii="Times New Roman" w:hAnsi="Times New Roman" w:cs="Times New Roman"/>
          <w:i/>
          <w:sz w:val="28"/>
          <w:szCs w:val="28"/>
        </w:rPr>
        <w:t xml:space="preserve"> AG </w:t>
      </w:r>
      <w:proofErr w:type="spellStart"/>
      <w:r w:rsidRPr="00CC5D02">
        <w:rPr>
          <w:rFonts w:ascii="Times New Roman" w:hAnsi="Times New Roman" w:cs="Times New Roman"/>
          <w:i/>
          <w:sz w:val="28"/>
          <w:szCs w:val="28"/>
        </w:rPr>
        <w:t>e.a</w:t>
      </w:r>
      <w:proofErr w:type="spellEnd"/>
      <w:r w:rsidRPr="00CC5D02">
        <w:rPr>
          <w:rFonts w:ascii="Times New Roman" w:hAnsi="Times New Roman" w:cs="Times New Roman"/>
          <w:i/>
          <w:sz w:val="28"/>
          <w:szCs w:val="28"/>
        </w:rPr>
        <w:t xml:space="preserve">., OHIM </w:t>
      </w:r>
      <w:proofErr w:type="spellStart"/>
      <w:r w:rsidRPr="00CC5D02">
        <w:rPr>
          <w:rFonts w:ascii="Times New Roman" w:hAnsi="Times New Roman" w:cs="Times New Roman"/>
          <w:i/>
          <w:sz w:val="28"/>
          <w:szCs w:val="28"/>
        </w:rPr>
        <w:t>c</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lastRenderedPageBreak/>
        <w:t>Yoshida</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Metal</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Industry</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Co</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Ltd</w:t>
      </w:r>
      <w:proofErr w:type="spellEnd"/>
      <w:r w:rsidRPr="00CC5D02">
        <w:rPr>
          <w:rFonts w:ascii="Times New Roman" w:hAnsi="Times New Roman" w:cs="Times New Roman"/>
          <w:i/>
          <w:sz w:val="28"/>
          <w:szCs w:val="28"/>
        </w:rPr>
        <w:t>)</w:t>
      </w:r>
      <w:r w:rsidRPr="00CC5D02">
        <w:rPr>
          <w:rFonts w:ascii="Times New Roman" w:hAnsi="Times New Roman" w:cs="Times New Roman"/>
          <w:sz w:val="28"/>
          <w:szCs w:val="28"/>
        </w:rPr>
        <w:t>. Впервые это было отмечено в  деле Филипс (</w:t>
      </w:r>
      <w:r w:rsidRPr="00CC5D02">
        <w:rPr>
          <w:rFonts w:ascii="Times New Roman" w:hAnsi="Times New Roman" w:cs="Times New Roman"/>
          <w:i/>
          <w:sz w:val="28"/>
          <w:szCs w:val="28"/>
        </w:rPr>
        <w:t xml:space="preserve">Суд ЕС, 18.06.2002, дело C-299/99, </w:t>
      </w:r>
      <w:proofErr w:type="spellStart"/>
      <w:r w:rsidRPr="00CC5D02">
        <w:rPr>
          <w:rFonts w:ascii="Times New Roman" w:hAnsi="Times New Roman" w:cs="Times New Roman"/>
          <w:i/>
          <w:sz w:val="28"/>
          <w:szCs w:val="28"/>
        </w:rPr>
        <w:t>Koninklijke</w:t>
      </w:r>
      <w:proofErr w:type="spellEnd"/>
      <w:r w:rsidRPr="00CC5D02">
        <w:rPr>
          <w:rFonts w:ascii="Times New Roman" w:hAnsi="Times New Roman" w:cs="Times New Roman"/>
          <w:i/>
          <w:sz w:val="28"/>
          <w:szCs w:val="28"/>
        </w:rPr>
        <w:t> </w:t>
      </w:r>
      <w:proofErr w:type="spellStart"/>
      <w:r w:rsidRPr="00CC5D02">
        <w:rPr>
          <w:rFonts w:ascii="Times New Roman" w:hAnsi="Times New Roman" w:cs="Times New Roman"/>
          <w:i/>
          <w:sz w:val="28"/>
          <w:szCs w:val="28"/>
        </w:rPr>
        <w:t>Philips</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Electronics</w:t>
      </w:r>
      <w:proofErr w:type="spellEnd"/>
      <w:r w:rsidRPr="00CC5D02">
        <w:rPr>
          <w:rFonts w:ascii="Times New Roman" w:hAnsi="Times New Roman" w:cs="Times New Roman"/>
          <w:i/>
          <w:sz w:val="28"/>
          <w:szCs w:val="28"/>
        </w:rPr>
        <w:t xml:space="preserve"> NV </w:t>
      </w:r>
      <w:proofErr w:type="spellStart"/>
      <w:r w:rsidRPr="00CC5D02">
        <w:rPr>
          <w:rFonts w:ascii="Times New Roman" w:hAnsi="Times New Roman" w:cs="Times New Roman"/>
          <w:i/>
          <w:sz w:val="28"/>
          <w:szCs w:val="28"/>
        </w:rPr>
        <w:t>c</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Remington</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Consumer</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Products</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rPr>
        <w:t>Ltd</w:t>
      </w:r>
      <w:proofErr w:type="spellEnd"/>
      <w:r w:rsidRPr="00CC5D02">
        <w:rPr>
          <w:rFonts w:ascii="Times New Roman" w:hAnsi="Times New Roman" w:cs="Times New Roman"/>
          <w:i/>
          <w:sz w:val="28"/>
          <w:szCs w:val="28"/>
        </w:rPr>
        <w:t>., §</w:t>
      </w:r>
      <w:r w:rsidRPr="00CC5D02">
        <w:rPr>
          <w:rFonts w:ascii="Times New Roman" w:hAnsi="Times New Roman" w:cs="Times New Roman"/>
          <w:i/>
          <w:sz w:val="28"/>
          <w:szCs w:val="28"/>
          <w:lang w:val="fr-FR"/>
        </w:rPr>
        <w:t> </w:t>
      </w:r>
      <w:r w:rsidRPr="00CC5D02">
        <w:rPr>
          <w:rFonts w:ascii="Times New Roman" w:hAnsi="Times New Roman" w:cs="Times New Roman"/>
          <w:i/>
          <w:sz w:val="28"/>
          <w:szCs w:val="28"/>
        </w:rPr>
        <w:t>76</w:t>
      </w:r>
      <w:r w:rsidRPr="00CC5D02">
        <w:rPr>
          <w:rFonts w:ascii="Times New Roman" w:hAnsi="Times New Roman" w:cs="Times New Roman"/>
          <w:sz w:val="28"/>
          <w:szCs w:val="28"/>
        </w:rPr>
        <w:t>).</w:t>
      </w:r>
    </w:p>
    <w:p w:rsidR="002C10B7" w:rsidRPr="002C10B7" w:rsidRDefault="002C10B7" w:rsidP="00CC5D02">
      <w:pPr>
        <w:spacing w:after="0" w:line="360" w:lineRule="auto"/>
        <w:ind w:firstLine="708"/>
        <w:jc w:val="both"/>
        <w:rPr>
          <w:rFonts w:ascii="Times New Roman" w:hAnsi="Times New Roman" w:cs="Times New Roman"/>
          <w:sz w:val="28"/>
          <w:szCs w:val="28"/>
          <w:lang w:val="en-US"/>
        </w:rPr>
      </w:pPr>
    </w:p>
    <w:p w:rsidR="00CC5D02" w:rsidRPr="00CC5D02" w:rsidRDefault="00CC5D02" w:rsidP="00CC5D02">
      <w:pPr>
        <w:numPr>
          <w:ilvl w:val="1"/>
          <w:numId w:val="34"/>
        </w:numPr>
        <w:spacing w:after="0" w:line="360" w:lineRule="auto"/>
        <w:jc w:val="both"/>
        <w:rPr>
          <w:rFonts w:ascii="Times New Roman" w:hAnsi="Times New Roman" w:cs="Times New Roman"/>
          <w:b/>
          <w:bCs/>
          <w:sz w:val="28"/>
          <w:szCs w:val="28"/>
        </w:rPr>
      </w:pPr>
      <w:bookmarkStart w:id="2" w:name="_Toc65140078"/>
      <w:r w:rsidRPr="00CC5D02">
        <w:rPr>
          <w:rFonts w:ascii="Times New Roman" w:hAnsi="Times New Roman" w:cs="Times New Roman"/>
          <w:b/>
          <w:bCs/>
          <w:sz w:val="28"/>
          <w:szCs w:val="28"/>
        </w:rPr>
        <w:t xml:space="preserve"> Определение формы при оценке </w:t>
      </w:r>
      <w:proofErr w:type="spellStart"/>
      <w:r w:rsidRPr="00CC5D02">
        <w:rPr>
          <w:rFonts w:ascii="Times New Roman" w:hAnsi="Times New Roman" w:cs="Times New Roman"/>
          <w:b/>
          <w:bCs/>
          <w:sz w:val="28"/>
          <w:szCs w:val="28"/>
        </w:rPr>
        <w:t>охраноспособности</w:t>
      </w:r>
      <w:bookmarkEnd w:id="2"/>
      <w:proofErr w:type="spellEnd"/>
    </w:p>
    <w:p w:rsidR="00CC5D02" w:rsidRPr="00CC5D02" w:rsidRDefault="00CC5D02" w:rsidP="00CC5D02">
      <w:pPr>
        <w:numPr>
          <w:ilvl w:val="2"/>
          <w:numId w:val="34"/>
        </w:numPr>
        <w:spacing w:after="0" w:line="360" w:lineRule="auto"/>
        <w:jc w:val="both"/>
        <w:rPr>
          <w:rFonts w:ascii="Times New Roman" w:hAnsi="Times New Roman" w:cs="Times New Roman"/>
          <w:b/>
          <w:bCs/>
          <w:sz w:val="28"/>
          <w:szCs w:val="28"/>
        </w:rPr>
      </w:pPr>
      <w:r w:rsidRPr="00CC5D02">
        <w:rPr>
          <w:rFonts w:ascii="Times New Roman" w:hAnsi="Times New Roman" w:cs="Times New Roman"/>
          <w:b/>
          <w:bCs/>
          <w:sz w:val="28"/>
          <w:szCs w:val="28"/>
        </w:rPr>
        <w:t>Общие положения</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Законодательства ЕС и государств–членов ЕС предусматривают схожую с российским законодательством структуру условий для отказа в регистрации, которая, однако, имеет ряд отличий. Применительно к объемным обозначениям основная часть практики нацелена на оценку наличия различительной способности, но в последние годы особые исключения для обозначений, состоящих только из формы товаров, также начали требовать толкования Суда ЕС. </w:t>
      </w:r>
    </w:p>
    <w:p w:rsidR="00CC5D02" w:rsidRPr="00CC5D02" w:rsidRDefault="00CC5D02" w:rsidP="00CC5D02">
      <w:pPr>
        <w:numPr>
          <w:ilvl w:val="2"/>
          <w:numId w:val="34"/>
        </w:numPr>
        <w:spacing w:after="0" w:line="360" w:lineRule="auto"/>
        <w:jc w:val="both"/>
        <w:rPr>
          <w:rFonts w:ascii="Times New Roman" w:hAnsi="Times New Roman" w:cs="Times New Roman"/>
          <w:b/>
          <w:bCs/>
          <w:sz w:val="28"/>
          <w:szCs w:val="28"/>
        </w:rPr>
      </w:pPr>
      <w:r w:rsidRPr="00CC5D02">
        <w:rPr>
          <w:rFonts w:ascii="Times New Roman" w:hAnsi="Times New Roman" w:cs="Times New Roman"/>
          <w:b/>
          <w:bCs/>
          <w:sz w:val="28"/>
          <w:szCs w:val="28"/>
        </w:rPr>
        <w:t> Исключение некоторых форм товаров</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В законодательстве ЕС присутствует норма, аналогичная подпункту 4 пункта 1 статьи 1483 ГК РФ, но их сравнение позволяет выявить особенности. Законодательство ЕС вводит три ситуации, в которых объемные обозначения ни в коем случае не могут быть зарегистрированы, поскольку они не могут приобрести различительную способность в результате использования (</w:t>
      </w:r>
      <w:r w:rsidRPr="00CC5D02">
        <w:rPr>
          <w:rFonts w:ascii="Times New Roman" w:hAnsi="Times New Roman" w:cs="Times New Roman"/>
          <w:i/>
          <w:sz w:val="28"/>
          <w:szCs w:val="28"/>
        </w:rPr>
        <w:t xml:space="preserve">Суд ЕС, 20.09.2007, дело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t xml:space="preserve">-371/06, </w:t>
      </w:r>
      <w:r w:rsidRPr="00CC5D02">
        <w:rPr>
          <w:rFonts w:ascii="Times New Roman" w:hAnsi="Times New Roman" w:cs="Times New Roman"/>
          <w:i/>
          <w:sz w:val="28"/>
          <w:szCs w:val="28"/>
          <w:lang w:val="en-US"/>
        </w:rPr>
        <w:t>Benetton</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Group</w:t>
      </w:r>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lang w:val="en-US"/>
        </w:rPr>
        <w:t>SpA</w:t>
      </w:r>
      <w:proofErr w:type="spellEnd"/>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G</w:t>
      </w:r>
      <w:r w:rsidRPr="00CC5D02">
        <w:rPr>
          <w:rFonts w:ascii="Times New Roman" w:hAnsi="Times New Roman" w:cs="Times New Roman"/>
          <w:i/>
          <w:sz w:val="28"/>
          <w:szCs w:val="28"/>
        </w:rPr>
        <w:t>-</w:t>
      </w:r>
      <w:r w:rsidRPr="00CC5D02">
        <w:rPr>
          <w:rFonts w:ascii="Times New Roman" w:hAnsi="Times New Roman" w:cs="Times New Roman"/>
          <w:i/>
          <w:sz w:val="28"/>
          <w:szCs w:val="28"/>
          <w:lang w:val="en-US"/>
        </w:rPr>
        <w:t>Star</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International</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BV</w:t>
      </w:r>
      <w:r w:rsidRPr="00CC5D02">
        <w:rPr>
          <w:rFonts w:ascii="Times New Roman" w:hAnsi="Times New Roman" w:cs="Times New Roman"/>
          <w:sz w:val="28"/>
          <w:szCs w:val="28"/>
        </w:rPr>
        <w:t>). Среди оснований для отказа в регистрации Регламент ЕС № 207/2009 в статье 7.1.е</w:t>
      </w:r>
      <w:r w:rsidRPr="00CC5D02">
        <w:rPr>
          <w:rFonts w:ascii="Times New Roman" w:hAnsi="Times New Roman" w:cs="Times New Roman"/>
          <w:sz w:val="28"/>
          <w:szCs w:val="28"/>
          <w:vertAlign w:val="superscript"/>
        </w:rPr>
        <w:footnoteReference w:id="18"/>
      </w:r>
      <w:r w:rsidRPr="00CC5D02">
        <w:rPr>
          <w:rFonts w:ascii="Times New Roman" w:hAnsi="Times New Roman" w:cs="Times New Roman"/>
          <w:sz w:val="28"/>
          <w:szCs w:val="28"/>
        </w:rPr>
        <w:t xml:space="preserve"> предусматривает отказ в охране обозначений, состоящих только: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из формы, которая вытекает из природы самого товара (</w:t>
      </w:r>
      <w:proofErr w:type="spellStart"/>
      <w:r w:rsidRPr="00CC5D02">
        <w:rPr>
          <w:rFonts w:ascii="Times New Roman" w:hAnsi="Times New Roman" w:cs="Times New Roman"/>
          <w:sz w:val="28"/>
          <w:szCs w:val="28"/>
          <w:lang w:val="en-US"/>
        </w:rPr>
        <w:t>i</w:t>
      </w:r>
      <w:proofErr w:type="spellEnd"/>
      <w:r w:rsidRPr="00CC5D02">
        <w:rPr>
          <w:rFonts w:ascii="Times New Roman" w:hAnsi="Times New Roman" w:cs="Times New Roman"/>
          <w:sz w:val="28"/>
          <w:szCs w:val="28"/>
        </w:rPr>
        <w:t xml:space="preserve">);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из формы товара, необходимой для достижения технического результата (</w:t>
      </w:r>
      <w:r w:rsidRPr="00CC5D02">
        <w:rPr>
          <w:rFonts w:ascii="Times New Roman" w:hAnsi="Times New Roman" w:cs="Times New Roman"/>
          <w:sz w:val="28"/>
          <w:szCs w:val="28"/>
          <w:lang w:val="en-US"/>
        </w:rPr>
        <w:t>ii</w:t>
      </w:r>
      <w:r w:rsidRPr="00CC5D02">
        <w:rPr>
          <w:rFonts w:ascii="Times New Roman" w:hAnsi="Times New Roman" w:cs="Times New Roman"/>
          <w:sz w:val="28"/>
          <w:szCs w:val="28"/>
        </w:rPr>
        <w:t xml:space="preserve">);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из формы, придающей основную ценность товару (</w:t>
      </w:r>
      <w:r w:rsidRPr="00CC5D02">
        <w:rPr>
          <w:rFonts w:ascii="Times New Roman" w:hAnsi="Times New Roman" w:cs="Times New Roman"/>
          <w:sz w:val="28"/>
          <w:szCs w:val="28"/>
          <w:lang w:val="en-US"/>
        </w:rPr>
        <w:t>iii</w:t>
      </w:r>
      <w:r w:rsidRPr="00CC5D02">
        <w:rPr>
          <w:rFonts w:ascii="Times New Roman" w:hAnsi="Times New Roman" w:cs="Times New Roman"/>
          <w:sz w:val="28"/>
          <w:szCs w:val="28"/>
        </w:rPr>
        <w:t xml:space="preserve">). </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lastRenderedPageBreak/>
        <w:t>Суд ЕС дал определение понятия «форма» в 2018 году в ходе рассмотрения дела, в котором был поднят вопрос о применении статьи 3.1.е Директивы ЕС к обозначению, заявленному как определенный цвет, нанесенный на подошву без учета контуров туфли. Суд ЕС определил, что в данном случае обозначение не состоит из «формы». В другом деле, где заявленное обозначение состояло из двухмерных узоров, наложенных на двухмерный товар (ткань, бумагу), и было зарегистрировано в том числе для предметов мебели, Суд ЕС также определил, что это обозначение не «состоит только из формы» по смыслу статьи 7.1.е Регламента ЕС.</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После реформы законодательства о товарных знаках в ЕС</w:t>
      </w:r>
      <w:r w:rsidRPr="00CC5D02">
        <w:rPr>
          <w:rFonts w:ascii="Times New Roman" w:hAnsi="Times New Roman" w:cs="Times New Roman"/>
          <w:sz w:val="28"/>
          <w:szCs w:val="28"/>
          <w:vertAlign w:val="superscript"/>
        </w:rPr>
        <w:footnoteReference w:id="19"/>
      </w:r>
      <w:r w:rsidRPr="00CC5D02">
        <w:rPr>
          <w:rFonts w:ascii="Times New Roman" w:hAnsi="Times New Roman" w:cs="Times New Roman"/>
          <w:sz w:val="28"/>
          <w:szCs w:val="28"/>
        </w:rPr>
        <w:t xml:space="preserve"> формулировка каждого из пунктов статьи 7.1.е Регламента ЕС была расширена: к «форме» были добавлены термины «или иная характеристика». Следовательно, цвет товара, выбранный для привлечения внимания в опасных ситуациях или для отражения тепла, особо ценный узор товара могут быть проанализированы в контексте данных исключений</w:t>
      </w:r>
      <w:r w:rsidRPr="00CC5D02">
        <w:rPr>
          <w:rFonts w:ascii="Times New Roman" w:hAnsi="Times New Roman" w:cs="Times New Roman"/>
          <w:sz w:val="28"/>
          <w:szCs w:val="28"/>
          <w:vertAlign w:val="superscript"/>
        </w:rPr>
        <w:footnoteReference w:id="20"/>
      </w:r>
      <w:r w:rsidRPr="00CC5D02">
        <w:rPr>
          <w:rFonts w:ascii="Times New Roman" w:hAnsi="Times New Roman" w:cs="Times New Roman"/>
          <w:sz w:val="28"/>
          <w:szCs w:val="28"/>
        </w:rPr>
        <w:t>. Эти ситуации еще не были рассмотрены Судом ЕС, в литературе выявляются сложности и некоторые противоречия, которые могут скоро возникнуть на практике</w:t>
      </w:r>
      <w:r w:rsidRPr="00CC5D02">
        <w:rPr>
          <w:rFonts w:ascii="Times New Roman" w:hAnsi="Times New Roman" w:cs="Times New Roman"/>
          <w:sz w:val="28"/>
          <w:szCs w:val="28"/>
          <w:vertAlign w:val="superscript"/>
        </w:rPr>
        <w:footnoteReference w:id="21"/>
      </w:r>
      <w:r w:rsidRPr="00CC5D02">
        <w:rPr>
          <w:rFonts w:ascii="Times New Roman" w:hAnsi="Times New Roman" w:cs="Times New Roman"/>
          <w:sz w:val="28"/>
          <w:szCs w:val="28"/>
        </w:rPr>
        <w:t>. Среди актуальных вопросов можно назвать проблему соотношения между наличием различительной способности и исключением формы или иной характеристики товара, придающей товару особую ценность.</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Ранее Суд ЕС определил, что для применения исключения технически обусловленной формы «основные характеристики формы товара» должны быть продиктованы технической функцией товара (</w:t>
      </w:r>
      <w:r w:rsidRPr="00CC5D02">
        <w:rPr>
          <w:rFonts w:ascii="Times New Roman" w:hAnsi="Times New Roman" w:cs="Times New Roman"/>
          <w:i/>
          <w:sz w:val="28"/>
          <w:szCs w:val="28"/>
        </w:rPr>
        <w:t xml:space="preserve">Суд ЕС, 18.06.2002, дело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t xml:space="preserve">-299/99, </w:t>
      </w:r>
      <w:proofErr w:type="spellStart"/>
      <w:r w:rsidRPr="00CC5D02">
        <w:rPr>
          <w:rFonts w:ascii="Times New Roman" w:hAnsi="Times New Roman" w:cs="Times New Roman"/>
          <w:i/>
          <w:sz w:val="28"/>
          <w:szCs w:val="28"/>
          <w:lang w:val="en-US"/>
        </w:rPr>
        <w:t>Koninklijke</w:t>
      </w:r>
      <w:proofErr w:type="spellEnd"/>
      <w:r w:rsidRPr="00CC5D02">
        <w:rPr>
          <w:rFonts w:ascii="Times New Roman" w:hAnsi="Times New Roman" w:cs="Times New Roman"/>
          <w:i/>
          <w:sz w:val="28"/>
          <w:szCs w:val="28"/>
          <w:lang w:val="en-US"/>
        </w:rPr>
        <w:t> Philips</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Electronics</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NV</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Remington</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Consumer</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Products</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lastRenderedPageBreak/>
        <w:t>Ltd</w:t>
      </w:r>
      <w:r w:rsidRPr="00CC5D02">
        <w:rPr>
          <w:rFonts w:ascii="Times New Roman" w:hAnsi="Times New Roman" w:cs="Times New Roman"/>
          <w:i/>
          <w:sz w:val="28"/>
          <w:szCs w:val="28"/>
        </w:rPr>
        <w:t>., §</w:t>
      </w:r>
      <w:r w:rsidRPr="00CC5D02">
        <w:rPr>
          <w:rFonts w:ascii="Times New Roman" w:hAnsi="Times New Roman" w:cs="Times New Roman"/>
          <w:i/>
          <w:sz w:val="28"/>
          <w:szCs w:val="28"/>
          <w:lang w:val="fr-FR"/>
        </w:rPr>
        <w:t> </w:t>
      </w:r>
      <w:r w:rsidRPr="00CC5D02">
        <w:rPr>
          <w:rFonts w:ascii="Times New Roman" w:hAnsi="Times New Roman" w:cs="Times New Roman"/>
          <w:i/>
          <w:sz w:val="28"/>
          <w:szCs w:val="28"/>
        </w:rPr>
        <w:t xml:space="preserve">79; Суд ЕС, 14.09.2010, дело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noBreakHyphen/>
        <w:t>48/09</w:t>
      </w:r>
      <w:r w:rsidRPr="00CC5D02">
        <w:rPr>
          <w:rFonts w:ascii="Times New Roman" w:hAnsi="Times New Roman" w:cs="Times New Roman"/>
          <w:i/>
          <w:sz w:val="28"/>
          <w:szCs w:val="28"/>
          <w:lang w:val="en-US"/>
        </w:rPr>
        <w:t> P</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Lego</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Juris</w:t>
      </w:r>
      <w:r w:rsidRPr="00CC5D02">
        <w:rPr>
          <w:rFonts w:ascii="Times New Roman" w:hAnsi="Times New Roman" w:cs="Times New Roman"/>
          <w:i/>
          <w:sz w:val="28"/>
          <w:szCs w:val="28"/>
        </w:rPr>
        <w:t>/</w:t>
      </w:r>
      <w:r w:rsidRPr="00CC5D02">
        <w:rPr>
          <w:rFonts w:ascii="Times New Roman" w:hAnsi="Times New Roman" w:cs="Times New Roman"/>
          <w:i/>
          <w:sz w:val="28"/>
          <w:szCs w:val="28"/>
          <w:lang w:val="en-US"/>
        </w:rPr>
        <w:t>OHMI</w:t>
      </w:r>
      <w:r w:rsidRPr="00CC5D02">
        <w:rPr>
          <w:rFonts w:ascii="Times New Roman" w:hAnsi="Times New Roman" w:cs="Times New Roman"/>
          <w:i/>
          <w:sz w:val="28"/>
          <w:szCs w:val="28"/>
        </w:rPr>
        <w:t>, §</w:t>
      </w:r>
      <w:r w:rsidRPr="00CC5D02">
        <w:rPr>
          <w:rFonts w:ascii="Times New Roman" w:hAnsi="Times New Roman" w:cs="Times New Roman"/>
          <w:i/>
          <w:sz w:val="28"/>
          <w:szCs w:val="28"/>
          <w:lang w:val="fr-FR"/>
        </w:rPr>
        <w:t> </w:t>
      </w:r>
      <w:r w:rsidRPr="00CC5D02">
        <w:rPr>
          <w:rFonts w:ascii="Times New Roman" w:hAnsi="Times New Roman" w:cs="Times New Roman"/>
          <w:i/>
          <w:sz w:val="28"/>
          <w:szCs w:val="28"/>
        </w:rPr>
        <w:t>52</w:t>
      </w:r>
      <w:r w:rsidRPr="00CC5D02">
        <w:rPr>
          <w:rFonts w:ascii="Times New Roman" w:hAnsi="Times New Roman" w:cs="Times New Roman"/>
          <w:sz w:val="28"/>
          <w:szCs w:val="28"/>
        </w:rPr>
        <w:t xml:space="preserve">). На примерах формы головки бритвы и кубика </w:t>
      </w:r>
      <w:proofErr w:type="spellStart"/>
      <w:r w:rsidRPr="00CC5D02">
        <w:rPr>
          <w:rFonts w:ascii="Times New Roman" w:hAnsi="Times New Roman" w:cs="Times New Roman"/>
          <w:sz w:val="28"/>
          <w:szCs w:val="28"/>
        </w:rPr>
        <w:t>Лего</w:t>
      </w:r>
      <w:proofErr w:type="spellEnd"/>
      <w:r w:rsidRPr="00CC5D02">
        <w:rPr>
          <w:rFonts w:ascii="Times New Roman" w:hAnsi="Times New Roman" w:cs="Times New Roman"/>
          <w:sz w:val="28"/>
          <w:szCs w:val="28"/>
        </w:rPr>
        <w:t xml:space="preserve"> Суду ЕС не представлялось необходимым определять понятие «форма» для применения исключения технически обусловленных форм. Акцент делался на том, что «основные характеристики» обозначения не должны быть продиктованы функцией товара. </w:t>
      </w:r>
    </w:p>
    <w:p w:rsidR="00CC5D02" w:rsidRPr="00CC5D02" w:rsidRDefault="00CC5D02" w:rsidP="00CC5D02">
      <w:pPr>
        <w:spacing w:after="0" w:line="360" w:lineRule="auto"/>
        <w:ind w:firstLine="708"/>
        <w:jc w:val="both"/>
        <w:rPr>
          <w:rFonts w:ascii="Times New Roman" w:hAnsi="Times New Roman" w:cs="Times New Roman"/>
          <w:sz w:val="28"/>
          <w:szCs w:val="28"/>
          <w:lang w:val="en-US"/>
        </w:rPr>
      </w:pPr>
      <w:r w:rsidRPr="00CC5D02">
        <w:rPr>
          <w:rFonts w:ascii="Times New Roman" w:hAnsi="Times New Roman" w:cs="Times New Roman"/>
          <w:sz w:val="28"/>
          <w:szCs w:val="28"/>
        </w:rPr>
        <w:t>Если форма товара содержит важный нефункциональный элемент (декоративный, фантазийный), обозначение может охраняться (</w:t>
      </w:r>
      <w:r w:rsidRPr="00CC5D02">
        <w:rPr>
          <w:rFonts w:ascii="Times New Roman" w:hAnsi="Times New Roman" w:cs="Times New Roman"/>
          <w:i/>
          <w:sz w:val="28"/>
          <w:szCs w:val="28"/>
        </w:rPr>
        <w:t xml:space="preserve">Суд ЕС, 14.09.2010, дело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noBreakHyphen/>
        <w:t>48/09</w:t>
      </w:r>
      <w:r w:rsidRPr="00CC5D02">
        <w:rPr>
          <w:rFonts w:ascii="Times New Roman" w:hAnsi="Times New Roman" w:cs="Times New Roman"/>
          <w:i/>
          <w:sz w:val="28"/>
          <w:szCs w:val="28"/>
          <w:lang w:val="en-US"/>
        </w:rPr>
        <w:t> P</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Lego</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Juris</w:t>
      </w:r>
      <w:r w:rsidRPr="00CC5D02">
        <w:rPr>
          <w:rFonts w:ascii="Times New Roman" w:hAnsi="Times New Roman" w:cs="Times New Roman"/>
          <w:i/>
          <w:sz w:val="28"/>
          <w:szCs w:val="28"/>
        </w:rPr>
        <w:t>/</w:t>
      </w:r>
      <w:r w:rsidRPr="00CC5D02">
        <w:rPr>
          <w:rFonts w:ascii="Times New Roman" w:hAnsi="Times New Roman" w:cs="Times New Roman"/>
          <w:i/>
          <w:sz w:val="28"/>
          <w:szCs w:val="28"/>
          <w:lang w:val="en-US"/>
        </w:rPr>
        <w:t>OHMI</w:t>
      </w:r>
      <w:r w:rsidRPr="00CC5D02">
        <w:rPr>
          <w:rFonts w:ascii="Times New Roman" w:hAnsi="Times New Roman" w:cs="Times New Roman"/>
          <w:i/>
          <w:sz w:val="28"/>
          <w:szCs w:val="28"/>
        </w:rPr>
        <w:t>, §</w:t>
      </w:r>
      <w:r w:rsidRPr="00CC5D02">
        <w:rPr>
          <w:rFonts w:ascii="Times New Roman" w:hAnsi="Times New Roman" w:cs="Times New Roman"/>
          <w:i/>
          <w:sz w:val="28"/>
          <w:szCs w:val="28"/>
          <w:lang w:val="fr-FR"/>
        </w:rPr>
        <w:t> </w:t>
      </w:r>
      <w:r w:rsidRPr="00CC5D02">
        <w:rPr>
          <w:rFonts w:ascii="Times New Roman" w:hAnsi="Times New Roman" w:cs="Times New Roman"/>
          <w:i/>
          <w:sz w:val="28"/>
          <w:szCs w:val="28"/>
        </w:rPr>
        <w:t>52</w:t>
      </w:r>
      <w:r w:rsidRPr="00CC5D02">
        <w:rPr>
          <w:rFonts w:ascii="Times New Roman" w:hAnsi="Times New Roman" w:cs="Times New Roman"/>
          <w:sz w:val="28"/>
          <w:szCs w:val="28"/>
        </w:rPr>
        <w:t xml:space="preserve">) при соблюдении остальных условий охраны. В деле Филипс Суд ЕС определил исходя из общественного интереса, защищаемого в статьей 3.1.е Директивы ЕС, и из отсутствия такого критерия в самом тексте Директивы ЕС, что существование альтернативных форм не может служить критерием для предоставления охраны обозначению </w:t>
      </w:r>
      <w:r w:rsidRPr="00CC5D02">
        <w:rPr>
          <w:rFonts w:ascii="Times New Roman" w:hAnsi="Times New Roman" w:cs="Times New Roman"/>
          <w:sz w:val="28"/>
          <w:szCs w:val="28"/>
          <w:lang w:val="en-US"/>
        </w:rPr>
        <w:t>(</w:t>
      </w:r>
      <w:r w:rsidRPr="00CC5D02">
        <w:rPr>
          <w:rFonts w:ascii="Times New Roman" w:hAnsi="Times New Roman" w:cs="Times New Roman"/>
          <w:i/>
          <w:sz w:val="28"/>
          <w:szCs w:val="28"/>
        </w:rPr>
        <w:t>Суд</w:t>
      </w:r>
      <w:r w:rsidRPr="00CC5D02">
        <w:rPr>
          <w:rFonts w:ascii="Times New Roman" w:hAnsi="Times New Roman" w:cs="Times New Roman"/>
          <w:i/>
          <w:sz w:val="28"/>
          <w:szCs w:val="28"/>
          <w:lang w:val="en-US"/>
        </w:rPr>
        <w:t xml:space="preserve"> </w:t>
      </w:r>
      <w:r w:rsidRPr="00CC5D02">
        <w:rPr>
          <w:rFonts w:ascii="Times New Roman" w:hAnsi="Times New Roman" w:cs="Times New Roman"/>
          <w:i/>
          <w:sz w:val="28"/>
          <w:szCs w:val="28"/>
        </w:rPr>
        <w:t>ЕС</w:t>
      </w:r>
      <w:r w:rsidRPr="00CC5D02">
        <w:rPr>
          <w:rFonts w:ascii="Times New Roman" w:hAnsi="Times New Roman" w:cs="Times New Roman"/>
          <w:i/>
          <w:sz w:val="28"/>
          <w:szCs w:val="28"/>
          <w:lang w:val="en-US"/>
        </w:rPr>
        <w:t xml:space="preserve">, 18.06.2002, </w:t>
      </w:r>
      <w:r w:rsidRPr="00CC5D02">
        <w:rPr>
          <w:rFonts w:ascii="Times New Roman" w:hAnsi="Times New Roman" w:cs="Times New Roman"/>
          <w:i/>
          <w:sz w:val="28"/>
          <w:szCs w:val="28"/>
        </w:rPr>
        <w:t>дело</w:t>
      </w:r>
      <w:r w:rsidRPr="00CC5D02">
        <w:rPr>
          <w:rFonts w:ascii="Times New Roman" w:hAnsi="Times New Roman" w:cs="Times New Roman"/>
          <w:i/>
          <w:sz w:val="28"/>
          <w:szCs w:val="28"/>
          <w:lang w:val="en-US"/>
        </w:rPr>
        <w:t xml:space="preserve"> C-299/99, </w:t>
      </w:r>
      <w:proofErr w:type="spellStart"/>
      <w:r w:rsidRPr="00CC5D02">
        <w:rPr>
          <w:rFonts w:ascii="Times New Roman" w:hAnsi="Times New Roman" w:cs="Times New Roman"/>
          <w:i/>
          <w:sz w:val="28"/>
          <w:szCs w:val="28"/>
          <w:lang w:val="en-US"/>
        </w:rPr>
        <w:t>Koninklijke</w:t>
      </w:r>
      <w:proofErr w:type="spellEnd"/>
      <w:r w:rsidRPr="00CC5D02">
        <w:rPr>
          <w:rFonts w:ascii="Times New Roman" w:hAnsi="Times New Roman" w:cs="Times New Roman"/>
          <w:i/>
          <w:sz w:val="28"/>
          <w:szCs w:val="28"/>
          <w:lang w:val="en-US"/>
        </w:rPr>
        <w:t xml:space="preserve"> Philips Electronics NV c/ Remington Consumer Products Ltd., </w:t>
      </w:r>
      <w:r w:rsidRPr="00CC5D02">
        <w:rPr>
          <w:rFonts w:ascii="Times New Roman" w:hAnsi="Times New Roman" w:cs="Times New Roman"/>
          <w:i/>
          <w:sz w:val="28"/>
          <w:szCs w:val="28"/>
          <w:lang w:val="en-US"/>
        </w:rPr>
        <w:tab/>
        <w:t>§ 77</w:t>
      </w:r>
      <w:r w:rsidRPr="00CC5D02">
        <w:rPr>
          <w:rFonts w:ascii="Times New Roman" w:hAnsi="Times New Roman" w:cs="Times New Roman"/>
          <w:sz w:val="28"/>
          <w:szCs w:val="28"/>
          <w:lang w:val="en-US"/>
        </w:rPr>
        <w:t>–</w:t>
      </w:r>
      <w:r w:rsidRPr="00CC5D02">
        <w:rPr>
          <w:rFonts w:ascii="Times New Roman" w:hAnsi="Times New Roman" w:cs="Times New Roman"/>
          <w:i/>
          <w:sz w:val="28"/>
          <w:szCs w:val="28"/>
          <w:lang w:val="en-US"/>
        </w:rPr>
        <w:t>84</w:t>
      </w:r>
      <w:r w:rsidRPr="00CC5D02">
        <w:rPr>
          <w:rFonts w:ascii="Times New Roman" w:hAnsi="Times New Roman" w:cs="Times New Roman"/>
          <w:sz w:val="28"/>
          <w:szCs w:val="28"/>
          <w:lang w:val="en-US"/>
        </w:rPr>
        <w:t>).</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Суд ЕС также определил, что форма упаковки рассматривается в рамках этих исключений, только если товар, для которого заявлено обозначение, не имеет собственной формы (аморфный, льющийся, сыплющийся) (</w:t>
      </w:r>
      <w:r w:rsidRPr="00CC5D02">
        <w:rPr>
          <w:rFonts w:ascii="Times New Roman" w:hAnsi="Times New Roman" w:cs="Times New Roman"/>
          <w:i/>
          <w:sz w:val="28"/>
          <w:szCs w:val="28"/>
        </w:rPr>
        <w:t xml:space="preserve">Суд ЕС, 12.02.2004, дело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t xml:space="preserve">-218/01 </w:t>
      </w:r>
      <w:r w:rsidRPr="00CC5D02">
        <w:rPr>
          <w:rFonts w:ascii="Times New Roman" w:hAnsi="Times New Roman" w:cs="Times New Roman"/>
          <w:i/>
          <w:sz w:val="28"/>
          <w:szCs w:val="28"/>
          <w:lang w:val="en-US"/>
        </w:rPr>
        <w:t>P</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Henkel</w:t>
      </w:r>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lang w:val="en-US"/>
        </w:rPr>
        <w:t>KGaA</w:t>
      </w:r>
      <w:proofErr w:type="spellEnd"/>
      <w:r w:rsidRPr="00CC5D02">
        <w:rPr>
          <w:rFonts w:ascii="Times New Roman" w:hAnsi="Times New Roman" w:cs="Times New Roman"/>
          <w:i/>
          <w:sz w:val="28"/>
          <w:szCs w:val="28"/>
        </w:rPr>
        <w:t>, §</w:t>
      </w:r>
      <w:r w:rsidRPr="00CC5D02">
        <w:rPr>
          <w:rFonts w:ascii="Times New Roman" w:hAnsi="Times New Roman" w:cs="Times New Roman"/>
          <w:i/>
          <w:sz w:val="28"/>
          <w:szCs w:val="28"/>
          <w:lang w:val="fr-FR"/>
        </w:rPr>
        <w:t> </w:t>
      </w:r>
      <w:r w:rsidRPr="00CC5D02">
        <w:rPr>
          <w:rFonts w:ascii="Times New Roman" w:hAnsi="Times New Roman" w:cs="Times New Roman"/>
          <w:i/>
          <w:sz w:val="28"/>
          <w:szCs w:val="28"/>
        </w:rPr>
        <w:t>37</w:t>
      </w:r>
      <w:r w:rsidRPr="00CC5D02">
        <w:rPr>
          <w:rFonts w:ascii="Times New Roman" w:hAnsi="Times New Roman" w:cs="Times New Roman"/>
          <w:sz w:val="28"/>
          <w:szCs w:val="28"/>
        </w:rPr>
        <w:t>).</w:t>
      </w:r>
    </w:p>
    <w:p w:rsidR="00CC5D02" w:rsidRPr="00CC5D02" w:rsidRDefault="00CC5D02" w:rsidP="00CC5D02">
      <w:pPr>
        <w:numPr>
          <w:ilvl w:val="2"/>
          <w:numId w:val="34"/>
        </w:numPr>
        <w:spacing w:after="0" w:line="360" w:lineRule="auto"/>
        <w:jc w:val="both"/>
        <w:rPr>
          <w:rFonts w:ascii="Times New Roman" w:hAnsi="Times New Roman" w:cs="Times New Roman"/>
          <w:b/>
          <w:bCs/>
          <w:sz w:val="28"/>
          <w:szCs w:val="28"/>
        </w:rPr>
      </w:pPr>
      <w:r w:rsidRPr="00CC5D02">
        <w:rPr>
          <w:rFonts w:ascii="Times New Roman" w:hAnsi="Times New Roman" w:cs="Times New Roman"/>
          <w:b/>
          <w:bCs/>
          <w:sz w:val="28"/>
          <w:szCs w:val="28"/>
          <w:lang w:val="en-US"/>
        </w:rPr>
        <w:t> </w:t>
      </w:r>
      <w:r w:rsidRPr="00CC5D02">
        <w:rPr>
          <w:rFonts w:ascii="Times New Roman" w:hAnsi="Times New Roman" w:cs="Times New Roman"/>
          <w:b/>
          <w:bCs/>
          <w:sz w:val="28"/>
          <w:szCs w:val="28"/>
        </w:rPr>
        <w:t>Различительная способность</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 xml:space="preserve">В ЕС применяется единый подход к оценке </w:t>
      </w:r>
      <w:proofErr w:type="spellStart"/>
      <w:r w:rsidRPr="00CC5D02">
        <w:rPr>
          <w:rFonts w:ascii="Times New Roman" w:hAnsi="Times New Roman" w:cs="Times New Roman"/>
          <w:sz w:val="28"/>
          <w:szCs w:val="28"/>
        </w:rPr>
        <w:t>охраноспособности</w:t>
      </w:r>
      <w:proofErr w:type="spellEnd"/>
      <w:r w:rsidRPr="00CC5D02">
        <w:rPr>
          <w:rFonts w:ascii="Times New Roman" w:hAnsi="Times New Roman" w:cs="Times New Roman"/>
          <w:sz w:val="28"/>
          <w:szCs w:val="28"/>
        </w:rPr>
        <w:t xml:space="preserve"> всех обозначений. В отношении объемных товарных знаков Суд ЕС определил, что законодательство не делает различий между видами обозначений: оценка условий описательности и различительной способности объемных обозначений должна осуществляться так же, как и для других обозначений (</w:t>
      </w:r>
      <w:r w:rsidRPr="00CC5D02">
        <w:rPr>
          <w:rFonts w:ascii="Times New Roman" w:hAnsi="Times New Roman" w:cs="Times New Roman"/>
          <w:i/>
          <w:sz w:val="28"/>
          <w:szCs w:val="28"/>
        </w:rPr>
        <w:t xml:space="preserve">Суд ЕС, 8.04. </w:t>
      </w:r>
      <w:r w:rsidRPr="00CC5D02">
        <w:rPr>
          <w:rFonts w:ascii="Times New Roman" w:hAnsi="Times New Roman" w:cs="Times New Roman"/>
          <w:i/>
          <w:sz w:val="28"/>
          <w:szCs w:val="28"/>
          <w:lang w:val="de-DE"/>
        </w:rPr>
        <w:t xml:space="preserve">2003, </w:t>
      </w:r>
      <w:r w:rsidRPr="00CC5D02">
        <w:rPr>
          <w:rFonts w:ascii="Times New Roman" w:hAnsi="Times New Roman" w:cs="Times New Roman"/>
          <w:i/>
          <w:sz w:val="28"/>
          <w:szCs w:val="28"/>
        </w:rPr>
        <w:t>объединенные</w:t>
      </w:r>
      <w:r w:rsidRPr="00CC5D02">
        <w:rPr>
          <w:rFonts w:ascii="Times New Roman" w:hAnsi="Times New Roman" w:cs="Times New Roman"/>
          <w:i/>
          <w:sz w:val="28"/>
          <w:szCs w:val="28"/>
          <w:lang w:val="de-DE"/>
        </w:rPr>
        <w:t xml:space="preserve"> </w:t>
      </w:r>
      <w:r w:rsidRPr="00CC5D02">
        <w:rPr>
          <w:rFonts w:ascii="Times New Roman" w:hAnsi="Times New Roman" w:cs="Times New Roman"/>
          <w:i/>
          <w:sz w:val="28"/>
          <w:szCs w:val="28"/>
        </w:rPr>
        <w:t>дела</w:t>
      </w:r>
      <w:r w:rsidRPr="00CC5D02">
        <w:rPr>
          <w:rFonts w:ascii="Times New Roman" w:hAnsi="Times New Roman" w:cs="Times New Roman"/>
          <w:i/>
          <w:sz w:val="28"/>
          <w:szCs w:val="28"/>
          <w:lang w:val="de-DE"/>
        </w:rPr>
        <w:t xml:space="preserve"> C-53/01, C-54/01 </w:t>
      </w:r>
      <w:r w:rsidRPr="00CC5D02">
        <w:rPr>
          <w:rFonts w:ascii="Times New Roman" w:hAnsi="Times New Roman" w:cs="Times New Roman"/>
          <w:i/>
          <w:sz w:val="28"/>
          <w:szCs w:val="28"/>
        </w:rPr>
        <w:t>и</w:t>
      </w:r>
      <w:r w:rsidRPr="00CC5D02">
        <w:rPr>
          <w:rFonts w:ascii="Times New Roman" w:hAnsi="Times New Roman" w:cs="Times New Roman"/>
          <w:i/>
          <w:sz w:val="28"/>
          <w:szCs w:val="28"/>
          <w:lang w:val="de-DE"/>
        </w:rPr>
        <w:t xml:space="preserve"> </w:t>
      </w:r>
      <w:r w:rsidRPr="00CC5D02">
        <w:rPr>
          <w:rFonts w:ascii="Times New Roman" w:hAnsi="Times New Roman" w:cs="Times New Roman"/>
          <w:i/>
          <w:sz w:val="28"/>
          <w:szCs w:val="28"/>
        </w:rPr>
        <w:t>С</w:t>
      </w:r>
      <w:r w:rsidRPr="00CC5D02">
        <w:rPr>
          <w:rFonts w:ascii="Times New Roman" w:hAnsi="Times New Roman" w:cs="Times New Roman"/>
          <w:i/>
          <w:sz w:val="28"/>
          <w:szCs w:val="28"/>
          <w:lang w:val="de-DE"/>
        </w:rPr>
        <w:t xml:space="preserve">-55/01, Linde AG, </w:t>
      </w:r>
      <w:proofErr w:type="spellStart"/>
      <w:r w:rsidRPr="00CC5D02">
        <w:rPr>
          <w:rFonts w:ascii="Times New Roman" w:hAnsi="Times New Roman" w:cs="Times New Roman"/>
          <w:i/>
          <w:sz w:val="28"/>
          <w:szCs w:val="28"/>
          <w:lang w:val="de-DE"/>
        </w:rPr>
        <w:t>Winward</w:t>
      </w:r>
      <w:proofErr w:type="spellEnd"/>
      <w:r w:rsidRPr="00CC5D02">
        <w:rPr>
          <w:rFonts w:ascii="Times New Roman" w:hAnsi="Times New Roman" w:cs="Times New Roman"/>
          <w:i/>
          <w:sz w:val="28"/>
          <w:szCs w:val="28"/>
          <w:lang w:val="de-DE"/>
        </w:rPr>
        <w:t xml:space="preserve"> Industries Inc., Rado Uhren AG c/ DPMA, § 46–47</w:t>
      </w:r>
      <w:r w:rsidRPr="00CC5D02">
        <w:rPr>
          <w:rFonts w:ascii="Times New Roman" w:hAnsi="Times New Roman" w:cs="Times New Roman"/>
          <w:sz w:val="28"/>
          <w:szCs w:val="28"/>
          <w:lang w:val="de-DE"/>
        </w:rPr>
        <w:t xml:space="preserve">). </w:t>
      </w:r>
      <w:r w:rsidRPr="00CC5D02">
        <w:rPr>
          <w:rFonts w:ascii="Times New Roman" w:hAnsi="Times New Roman" w:cs="Times New Roman"/>
          <w:sz w:val="28"/>
          <w:szCs w:val="28"/>
        </w:rPr>
        <w:t>Вместе с тем Суд ЕС отмечает, что для трехмерных обозначений на практике сложнее доказать различительную способность (</w:t>
      </w:r>
      <w:r w:rsidRPr="00CC5D02">
        <w:rPr>
          <w:rFonts w:ascii="Times New Roman" w:hAnsi="Times New Roman" w:cs="Times New Roman"/>
          <w:i/>
          <w:sz w:val="28"/>
          <w:szCs w:val="28"/>
        </w:rPr>
        <w:t xml:space="preserve">Суд ЕС, 8.04.2003, объединенные дела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t xml:space="preserve">-53/01, </w:t>
      </w:r>
      <w:r w:rsidRPr="00CC5D02">
        <w:rPr>
          <w:rFonts w:ascii="Times New Roman" w:hAnsi="Times New Roman" w:cs="Times New Roman"/>
          <w:i/>
          <w:sz w:val="28"/>
          <w:szCs w:val="28"/>
          <w:lang w:val="en-US"/>
        </w:rPr>
        <w:lastRenderedPageBreak/>
        <w:t>C</w:t>
      </w:r>
      <w:r w:rsidRPr="00CC5D02">
        <w:rPr>
          <w:rFonts w:ascii="Times New Roman" w:hAnsi="Times New Roman" w:cs="Times New Roman"/>
          <w:i/>
          <w:sz w:val="28"/>
          <w:szCs w:val="28"/>
        </w:rPr>
        <w:t xml:space="preserve">-54/01 и С-55/01, </w:t>
      </w:r>
      <w:r w:rsidRPr="00CC5D02">
        <w:rPr>
          <w:rFonts w:ascii="Times New Roman" w:hAnsi="Times New Roman" w:cs="Times New Roman"/>
          <w:i/>
          <w:sz w:val="28"/>
          <w:szCs w:val="28"/>
          <w:lang w:val="en-US"/>
        </w:rPr>
        <w:t>Linde</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AG</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Winward</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Industries</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Inc</w:t>
      </w:r>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lang w:val="en-US"/>
        </w:rPr>
        <w:t>Rado</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lang w:val="en-US"/>
        </w:rPr>
        <w:t>Uhren</w:t>
      </w:r>
      <w:proofErr w:type="spellEnd"/>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AG</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DPM</w:t>
      </w:r>
      <w:r w:rsidRPr="00CC5D02">
        <w:rPr>
          <w:rFonts w:ascii="Times New Roman" w:hAnsi="Times New Roman" w:cs="Times New Roman"/>
          <w:i/>
          <w:sz w:val="28"/>
          <w:szCs w:val="28"/>
        </w:rPr>
        <w:t>А, §</w:t>
      </w:r>
      <w:r w:rsidRPr="00CC5D02">
        <w:rPr>
          <w:rFonts w:ascii="Times New Roman" w:hAnsi="Times New Roman" w:cs="Times New Roman"/>
          <w:i/>
          <w:sz w:val="28"/>
          <w:szCs w:val="28"/>
          <w:lang w:val="fr-FR"/>
        </w:rPr>
        <w:t> </w:t>
      </w:r>
      <w:r w:rsidRPr="00CC5D02">
        <w:rPr>
          <w:rFonts w:ascii="Times New Roman" w:hAnsi="Times New Roman" w:cs="Times New Roman"/>
          <w:i/>
          <w:sz w:val="28"/>
          <w:szCs w:val="28"/>
        </w:rPr>
        <w:t>48)</w:t>
      </w:r>
      <w:r w:rsidRPr="00CC5D02">
        <w:rPr>
          <w:rFonts w:ascii="Times New Roman" w:hAnsi="Times New Roman" w:cs="Times New Roman"/>
          <w:sz w:val="28"/>
          <w:szCs w:val="28"/>
        </w:rPr>
        <w:t>, т.е. такие обозначения реже способны выполнять индивидуализирующую функцию для товаров, а эта функция является краеугольным камнем системы товарных знаков в ЕС</w:t>
      </w:r>
      <w:r w:rsidRPr="00CC5D02">
        <w:rPr>
          <w:rFonts w:ascii="Times New Roman" w:hAnsi="Times New Roman" w:cs="Times New Roman"/>
          <w:sz w:val="28"/>
          <w:szCs w:val="28"/>
          <w:vertAlign w:val="superscript"/>
        </w:rPr>
        <w:footnoteReference w:id="22"/>
      </w:r>
      <w:r w:rsidRPr="00CC5D02">
        <w:rPr>
          <w:rFonts w:ascii="Times New Roman" w:hAnsi="Times New Roman" w:cs="Times New Roman"/>
          <w:sz w:val="28"/>
          <w:szCs w:val="28"/>
        </w:rPr>
        <w:t>. Несмотря на то, что условие описательности должно быть применено, в литературе отмечается, что оно редко используется в оценке объемных обозначений</w:t>
      </w:r>
      <w:r w:rsidRPr="00CC5D02">
        <w:rPr>
          <w:rFonts w:ascii="Times New Roman" w:hAnsi="Times New Roman" w:cs="Times New Roman"/>
          <w:sz w:val="28"/>
          <w:szCs w:val="28"/>
          <w:vertAlign w:val="superscript"/>
        </w:rPr>
        <w:footnoteReference w:id="23"/>
      </w:r>
      <w:r w:rsidRPr="00CC5D02">
        <w:rPr>
          <w:rFonts w:ascii="Times New Roman" w:hAnsi="Times New Roman" w:cs="Times New Roman"/>
          <w:sz w:val="28"/>
          <w:szCs w:val="28"/>
        </w:rPr>
        <w:t>.</w:t>
      </w:r>
    </w:p>
    <w:p w:rsidR="00CC5D02" w:rsidRPr="00CC5D02" w:rsidRDefault="00CC5D02" w:rsidP="00CC5D02">
      <w:pPr>
        <w:spacing w:after="0" w:line="360" w:lineRule="auto"/>
        <w:ind w:firstLine="708"/>
        <w:jc w:val="both"/>
        <w:rPr>
          <w:rFonts w:ascii="Times New Roman" w:hAnsi="Times New Roman" w:cs="Times New Roman"/>
          <w:sz w:val="28"/>
          <w:szCs w:val="28"/>
        </w:rPr>
      </w:pPr>
      <w:r w:rsidRPr="00CC5D02">
        <w:rPr>
          <w:rFonts w:ascii="Times New Roman" w:hAnsi="Times New Roman" w:cs="Times New Roman"/>
          <w:sz w:val="28"/>
          <w:szCs w:val="28"/>
        </w:rPr>
        <w:t>Для определения различительной способности формы товара фактически используется более высокий критерий: необходимо доказать, что форма товара сильно отличается от норм и обычаев сферы производства товара, а также выполняет основную функцию указания происхождения товаров и услуг (</w:t>
      </w:r>
      <w:r w:rsidRPr="00CC5D02">
        <w:rPr>
          <w:rFonts w:ascii="Times New Roman" w:hAnsi="Times New Roman" w:cs="Times New Roman"/>
          <w:i/>
          <w:sz w:val="28"/>
          <w:szCs w:val="28"/>
        </w:rPr>
        <w:t xml:space="preserve">Суд ЕС, 12.02.2004, дело </w:t>
      </w:r>
      <w:r w:rsidRPr="00CC5D02">
        <w:rPr>
          <w:rFonts w:ascii="Times New Roman" w:hAnsi="Times New Roman" w:cs="Times New Roman"/>
          <w:i/>
          <w:sz w:val="28"/>
          <w:szCs w:val="28"/>
          <w:lang w:val="en-US"/>
        </w:rPr>
        <w:t>C</w:t>
      </w:r>
      <w:r w:rsidRPr="00CC5D02">
        <w:rPr>
          <w:rFonts w:ascii="Times New Roman" w:hAnsi="Times New Roman" w:cs="Times New Roman"/>
          <w:i/>
          <w:sz w:val="28"/>
          <w:szCs w:val="28"/>
        </w:rPr>
        <w:t xml:space="preserve">-218/01 </w:t>
      </w:r>
      <w:r w:rsidRPr="00CC5D02">
        <w:rPr>
          <w:rFonts w:ascii="Times New Roman" w:hAnsi="Times New Roman" w:cs="Times New Roman"/>
          <w:i/>
          <w:sz w:val="28"/>
          <w:szCs w:val="28"/>
          <w:lang w:val="en-US"/>
        </w:rPr>
        <w:t>P</w:t>
      </w:r>
      <w:r w:rsidRPr="00CC5D02">
        <w:rPr>
          <w:rFonts w:ascii="Times New Roman" w:hAnsi="Times New Roman" w:cs="Times New Roman"/>
          <w:i/>
          <w:sz w:val="28"/>
          <w:szCs w:val="28"/>
        </w:rPr>
        <w:t xml:space="preserve">, </w:t>
      </w:r>
      <w:r w:rsidRPr="00CC5D02">
        <w:rPr>
          <w:rFonts w:ascii="Times New Roman" w:hAnsi="Times New Roman" w:cs="Times New Roman"/>
          <w:i/>
          <w:sz w:val="28"/>
          <w:szCs w:val="28"/>
          <w:lang w:val="en-US"/>
        </w:rPr>
        <w:t>Henkel</w:t>
      </w:r>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lang w:val="en-US"/>
        </w:rPr>
        <w:t>KGaA</w:t>
      </w:r>
      <w:proofErr w:type="spellEnd"/>
      <w:r w:rsidRPr="00CC5D02">
        <w:rPr>
          <w:rFonts w:ascii="Times New Roman" w:hAnsi="Times New Roman" w:cs="Times New Roman"/>
          <w:i/>
          <w:sz w:val="28"/>
          <w:szCs w:val="28"/>
        </w:rPr>
        <w:t>)</w:t>
      </w:r>
      <w:r w:rsidRPr="00CC5D02">
        <w:rPr>
          <w:rFonts w:ascii="Times New Roman" w:hAnsi="Times New Roman" w:cs="Times New Roman"/>
          <w:sz w:val="28"/>
          <w:szCs w:val="28"/>
        </w:rPr>
        <w:t xml:space="preserve">. При этом учитывается, что наличие мелких произвольных нестандартных характеристик, не являющихся доминирующими для потребителей, не наделяет объемное обозначение различительной способностью. </w:t>
      </w:r>
    </w:p>
    <w:p w:rsidR="00CC5D02" w:rsidRPr="00CC5D02" w:rsidRDefault="00CC5D02" w:rsidP="00CC5D02">
      <w:pPr>
        <w:spacing w:after="0" w:line="360" w:lineRule="auto"/>
        <w:ind w:firstLine="708"/>
        <w:jc w:val="both"/>
        <w:rPr>
          <w:rFonts w:ascii="Times New Roman" w:hAnsi="Times New Roman" w:cs="Times New Roman"/>
          <w:sz w:val="28"/>
          <w:szCs w:val="28"/>
        </w:rPr>
      </w:pPr>
      <w:proofErr w:type="gramStart"/>
      <w:r w:rsidRPr="00CC5D02">
        <w:rPr>
          <w:rFonts w:ascii="Times New Roman" w:hAnsi="Times New Roman" w:cs="Times New Roman"/>
          <w:sz w:val="28"/>
          <w:szCs w:val="28"/>
        </w:rPr>
        <w:t>Вопрос функциональности формы товара самостоятельно не ставится на этапе рассмотрения различительной способности обозначения в той же мере, как в особом случае отказа, предусмотренном в  статье 7.1.е Регламента ЕС</w:t>
      </w:r>
      <w:r w:rsidRPr="00CC5D02">
        <w:rPr>
          <w:rFonts w:ascii="Times New Roman" w:hAnsi="Times New Roman" w:cs="Times New Roman"/>
          <w:sz w:val="28"/>
          <w:szCs w:val="28"/>
          <w:vertAlign w:val="superscript"/>
        </w:rPr>
        <w:footnoteReference w:id="24"/>
      </w:r>
      <w:r w:rsidRPr="00CC5D02">
        <w:rPr>
          <w:rFonts w:ascii="Times New Roman" w:hAnsi="Times New Roman" w:cs="Times New Roman"/>
          <w:sz w:val="28"/>
          <w:szCs w:val="28"/>
        </w:rPr>
        <w:t>. Функция товара может, однако, учитываться в той же мере, что и его декоративность, в ходе оценки отличий формы товара от обычных форм в определенном товарном секторе.</w:t>
      </w:r>
      <w:proofErr w:type="gramEnd"/>
      <w:r w:rsidRPr="00CC5D02">
        <w:rPr>
          <w:rFonts w:ascii="Times New Roman" w:hAnsi="Times New Roman" w:cs="Times New Roman"/>
          <w:sz w:val="28"/>
          <w:szCs w:val="28"/>
        </w:rPr>
        <w:t xml:space="preserve"> В случае если отличия существуют, следует рассмотреть, служат ли они для выполнения какой-либо функции в глазах </w:t>
      </w:r>
      <w:r w:rsidRPr="00CC5D02">
        <w:rPr>
          <w:rFonts w:ascii="Times New Roman" w:hAnsi="Times New Roman" w:cs="Times New Roman"/>
          <w:sz w:val="28"/>
          <w:szCs w:val="28"/>
        </w:rPr>
        <w:lastRenderedPageBreak/>
        <w:t>среднего потребителя. В таком случае форма не может выполнять индивидуализирующую функцию товарного знака.</w:t>
      </w:r>
    </w:p>
    <w:p w:rsidR="00CC5D02" w:rsidRDefault="00CC5D02" w:rsidP="00CC5D02">
      <w:pPr>
        <w:spacing w:after="0" w:line="360" w:lineRule="auto"/>
        <w:ind w:firstLine="708"/>
        <w:jc w:val="both"/>
        <w:rPr>
          <w:rFonts w:ascii="Times New Roman" w:hAnsi="Times New Roman" w:cs="Times New Roman"/>
          <w:sz w:val="28"/>
          <w:szCs w:val="28"/>
          <w:lang w:val="en-US"/>
        </w:rPr>
      </w:pPr>
      <w:r w:rsidRPr="00CC5D02">
        <w:rPr>
          <w:rFonts w:ascii="Times New Roman" w:hAnsi="Times New Roman" w:cs="Times New Roman"/>
          <w:sz w:val="28"/>
          <w:szCs w:val="28"/>
        </w:rPr>
        <w:t>В апреле 2020 г. в рамках дискуссии ведомства ЕС с национальными ведомствами о плавном сближении практик был принят документ по общей практике, касающейся «различительной способности трехмерных товарных знаков (объемные товарные знаки), включающих словесные и/или изобразительные элементы, когда форма не обладает сама по себе различительной способностью»</w:t>
      </w:r>
      <w:r w:rsidRPr="00CC5D02">
        <w:rPr>
          <w:rFonts w:ascii="Times New Roman" w:hAnsi="Times New Roman" w:cs="Times New Roman"/>
          <w:sz w:val="28"/>
          <w:szCs w:val="28"/>
          <w:vertAlign w:val="superscript"/>
        </w:rPr>
        <w:footnoteReference w:id="25"/>
      </w:r>
      <w:r w:rsidRPr="00CC5D02">
        <w:rPr>
          <w:rFonts w:ascii="Times New Roman" w:hAnsi="Times New Roman" w:cs="Times New Roman"/>
          <w:sz w:val="28"/>
          <w:szCs w:val="28"/>
        </w:rPr>
        <w:t>. Оценка различительной способности формы, а также особые случаи отказа в регистрации выведены из этого документа. Он в целом не касается существенных правовых вопросов. В приведенных примерах авторы документа исходят из того, что форма товара не обладает различительной способностью. По этим примерам видно, однако, что форма товара понимается как «голая» форма (</w:t>
      </w:r>
      <w:proofErr w:type="spellStart"/>
      <w:r w:rsidRPr="00CC5D02">
        <w:rPr>
          <w:rFonts w:ascii="Times New Roman" w:hAnsi="Times New Roman" w:cs="Times New Roman"/>
          <w:sz w:val="28"/>
          <w:szCs w:val="28"/>
          <w:lang w:val="en-US"/>
        </w:rPr>
        <w:t>forme</w:t>
      </w:r>
      <w:proofErr w:type="spellEnd"/>
      <w:r w:rsidRPr="00CC5D02">
        <w:rPr>
          <w:rFonts w:ascii="Times New Roman" w:hAnsi="Times New Roman" w:cs="Times New Roman"/>
          <w:sz w:val="28"/>
          <w:szCs w:val="28"/>
        </w:rPr>
        <w:t xml:space="preserve"> </w:t>
      </w:r>
      <w:r w:rsidRPr="00CC5D02">
        <w:rPr>
          <w:rFonts w:ascii="Times New Roman" w:hAnsi="Times New Roman" w:cs="Times New Roman"/>
          <w:i/>
          <w:sz w:val="28"/>
          <w:szCs w:val="28"/>
          <w:lang w:val="en-US"/>
        </w:rPr>
        <w:t>en</w:t>
      </w:r>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lang w:val="en-US"/>
        </w:rPr>
        <w:t>tant</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lang w:val="en-US"/>
        </w:rPr>
        <w:t>que</w:t>
      </w:r>
      <w:proofErr w:type="spellEnd"/>
      <w:r w:rsidRPr="00CC5D02">
        <w:rPr>
          <w:rFonts w:ascii="Times New Roman" w:hAnsi="Times New Roman" w:cs="Times New Roman"/>
          <w:i/>
          <w:sz w:val="28"/>
          <w:szCs w:val="28"/>
        </w:rPr>
        <w:t xml:space="preserve"> </w:t>
      </w:r>
      <w:proofErr w:type="spellStart"/>
      <w:r w:rsidRPr="00CC5D02">
        <w:rPr>
          <w:rFonts w:ascii="Times New Roman" w:hAnsi="Times New Roman" w:cs="Times New Roman"/>
          <w:i/>
          <w:sz w:val="28"/>
          <w:szCs w:val="28"/>
          <w:lang w:val="en-US"/>
        </w:rPr>
        <w:t>telle</w:t>
      </w:r>
      <w:proofErr w:type="spellEnd"/>
      <w:r w:rsidRPr="00CC5D02">
        <w:rPr>
          <w:rFonts w:ascii="Times New Roman" w:hAnsi="Times New Roman" w:cs="Times New Roman"/>
          <w:sz w:val="28"/>
          <w:szCs w:val="28"/>
        </w:rPr>
        <w:t xml:space="preserve">), как это и определено Судом ЕС в деле </w:t>
      </w:r>
      <w:proofErr w:type="spellStart"/>
      <w:r w:rsidRPr="00CC5D02">
        <w:rPr>
          <w:rFonts w:ascii="Times New Roman" w:hAnsi="Times New Roman" w:cs="Times New Roman"/>
          <w:sz w:val="28"/>
          <w:szCs w:val="28"/>
        </w:rPr>
        <w:t>Лубутен</w:t>
      </w:r>
      <w:proofErr w:type="spellEnd"/>
      <w:r w:rsidRPr="00CC5D02">
        <w:rPr>
          <w:rFonts w:ascii="Times New Roman" w:hAnsi="Times New Roman" w:cs="Times New Roman"/>
          <w:sz w:val="28"/>
          <w:szCs w:val="28"/>
        </w:rPr>
        <w:t>. В указанном документе определены критерии, по которым должна оцениваться комбинация формы товара с другими элементами, что соответствует определению понятия «доминирования» в ГК РФ.</w:t>
      </w:r>
      <w:bookmarkStart w:id="3" w:name="_Toc65140082"/>
    </w:p>
    <w:p w:rsidR="002C10B7" w:rsidRPr="002C10B7" w:rsidRDefault="002C10B7" w:rsidP="00CC5D02">
      <w:pPr>
        <w:spacing w:after="0" w:line="360" w:lineRule="auto"/>
        <w:ind w:firstLine="708"/>
        <w:jc w:val="both"/>
        <w:rPr>
          <w:rFonts w:ascii="Times New Roman" w:hAnsi="Times New Roman" w:cs="Times New Roman"/>
          <w:sz w:val="28"/>
          <w:szCs w:val="28"/>
          <w:lang w:val="en-US"/>
        </w:rPr>
        <w:sectPr w:rsidR="002C10B7" w:rsidRPr="002C10B7" w:rsidSect="002B216F">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titlePg/>
          <w:docGrid w:linePitch="360"/>
        </w:sectPr>
      </w:pPr>
    </w:p>
    <w:p w:rsidR="00CC5D02" w:rsidRPr="00CC5D02" w:rsidRDefault="00CC5D02" w:rsidP="00CC5D02">
      <w:pPr>
        <w:numPr>
          <w:ilvl w:val="0"/>
          <w:numId w:val="34"/>
        </w:numPr>
        <w:spacing w:after="0" w:line="360" w:lineRule="auto"/>
        <w:jc w:val="both"/>
        <w:rPr>
          <w:rFonts w:ascii="Times New Roman" w:hAnsi="Times New Roman" w:cs="Times New Roman"/>
          <w:b/>
          <w:bCs/>
          <w:sz w:val="28"/>
          <w:szCs w:val="28"/>
        </w:rPr>
      </w:pPr>
      <w:r w:rsidRPr="00CC5D02">
        <w:rPr>
          <w:rFonts w:ascii="Times New Roman" w:hAnsi="Times New Roman" w:cs="Times New Roman"/>
          <w:b/>
          <w:bCs/>
          <w:sz w:val="28"/>
          <w:szCs w:val="28"/>
        </w:rPr>
        <w:lastRenderedPageBreak/>
        <w:t>Приложения</w:t>
      </w:r>
      <w:bookmarkEnd w:id="3"/>
    </w:p>
    <w:p w:rsidR="00CC5D02" w:rsidRPr="00CC5D02" w:rsidRDefault="00CC5D02" w:rsidP="00CC5D02">
      <w:pPr>
        <w:numPr>
          <w:ilvl w:val="1"/>
          <w:numId w:val="34"/>
        </w:numPr>
        <w:spacing w:after="0" w:line="360" w:lineRule="auto"/>
        <w:jc w:val="both"/>
        <w:rPr>
          <w:rFonts w:ascii="Times New Roman" w:hAnsi="Times New Roman" w:cs="Times New Roman"/>
          <w:b/>
          <w:bCs/>
          <w:sz w:val="28"/>
          <w:szCs w:val="28"/>
        </w:rPr>
      </w:pPr>
      <w:bookmarkStart w:id="4" w:name="_Toc65140083"/>
      <w:r w:rsidRPr="00CC5D02">
        <w:rPr>
          <w:rFonts w:ascii="Times New Roman" w:hAnsi="Times New Roman" w:cs="Times New Roman"/>
          <w:b/>
          <w:bCs/>
          <w:sz w:val="28"/>
          <w:szCs w:val="28"/>
        </w:rPr>
        <w:t>Схема понятий в законодательстве и подзаконных актах РФ</w:t>
      </w:r>
      <w:bookmarkEnd w:id="4"/>
    </w:p>
    <w:p w:rsidR="00CC5D02" w:rsidRPr="00CC5D02" w:rsidRDefault="00CC5D02" w:rsidP="00CC5D02">
      <w:pPr>
        <w:spacing w:after="0" w:line="360" w:lineRule="auto"/>
        <w:ind w:firstLine="708"/>
        <w:jc w:val="both"/>
        <w:rPr>
          <w:rFonts w:ascii="Times New Roman" w:hAnsi="Times New Roman" w:cs="Times New Roman"/>
          <w:sz w:val="28"/>
          <w:szCs w:val="28"/>
        </w:rPr>
      </w:pPr>
    </w:p>
    <w:p w:rsidR="00CC5D02" w:rsidRPr="00CC5D02" w:rsidRDefault="00C10171" w:rsidP="00CC5D0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Группа 27" o:spid="_x0000_s1026" style="width:478.1pt;height:213.75pt;mso-position-horizontal-relative:char;mso-position-vertical-relative:line" coordsize="59340,26543">
            <v:oval id="Овал 12" o:spid="_x0000_s1027" style="position:absolute;left:25146;width:16668;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" filled="f" strokecolor="#243f60 [1604]" strokeweight="2pt">
              <v:textbox>
                <w:txbxContent>
                  <w:p w:rsidR="002B216F" w:rsidRDefault="002B216F" w:rsidP="00CC5D02">
                    <w:pPr>
                      <w:jc w:val="center"/>
                    </w:pPr>
                    <w:r>
                      <w:t>«Объемный» товарный знак</w:t>
                    </w:r>
                  </w:p>
                </w:txbxContent>
              </v:textbox>
            </v:oval>
            <v:roundrect id="Скругленный прямоугольник 13" o:spid="_x0000_s1028" style="position:absolute;left:17430;top:11049;width:12669;height:6000;visibility:visible;mso-wrap-style:square;v-text-anchor:middle" arcsize="10923f" o:gfxdata="" filled="f" strokecolor="#243f60 [1604]" strokeweight="2pt">
              <v:textbox>
                <w:txbxContent>
                  <w:p w:rsidR="002B216F" w:rsidRPr="005549FD" w:rsidRDefault="002B216F" w:rsidP="00CC5D02">
                    <w:pPr>
                      <w:jc w:val="center"/>
                      <w:rPr>
                        <w:sz w:val="18"/>
                      </w:rPr>
                    </w:pPr>
                    <w:r w:rsidRPr="005549FD">
                      <w:rPr>
                        <w:sz w:val="18"/>
                      </w:rPr>
                      <w:t>Объемное обозначение</w:t>
                    </w:r>
                  </w:p>
                </w:txbxContent>
              </v:textbox>
            </v:roundrect>
            <v:roundrect id="Скругленный прямоугольник 14" o:spid="_x0000_s1029" style="position:absolute;left:39909;top:10572;width:14192;height:5715;visibility:visible;mso-wrap-style:square;v-text-anchor:middle" arcsize="10923f" o:gfxdata="" filled="f" strokecolor="#243f60 [1604]" strokeweight="2pt">
              <v:textbox>
                <w:txbxContent>
                  <w:p w:rsidR="002B216F" w:rsidRPr="005549FD" w:rsidRDefault="002B216F" w:rsidP="00CC5D02">
                    <w:pPr>
                      <w:jc w:val="center"/>
                      <w:rPr>
                        <w:sz w:val="18"/>
                      </w:rPr>
                    </w:pPr>
                    <w:r w:rsidRPr="005549FD">
                      <w:rPr>
                        <w:sz w:val="18"/>
                      </w:rPr>
                      <w:t>Комбинированное обозначение</w:t>
                    </w:r>
                  </w:p>
                </w:txbxContent>
              </v:textbox>
            </v:roundrect>
            <v:rect id="Прямоугольник 15" o:spid="_x0000_s1030" style="position:absolute;left:16764;top:20002;width:1800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" filled="f" strokecolor="#243f60 [1604]" strokeweight="2pt">
              <v:textbox>
                <w:txbxContent>
                  <w:p w:rsidR="002B216F" w:rsidRPr="005549FD" w:rsidRDefault="002B216F" w:rsidP="00CC5D02">
                    <w:pPr>
                      <w:jc w:val="center"/>
                      <w:rPr>
                        <w:sz w:val="10"/>
                      </w:rPr>
                    </w:pPr>
                    <w:r w:rsidRPr="005549FD">
                      <w:rPr>
                        <w:sz w:val="16"/>
                        <w:lang w:eastAsia="ru-RU"/>
                      </w:rPr>
                      <w:t>«трехмерные объекты, фигуры и комбинации линий и фигур в пространственном расположении»</w:t>
                    </w:r>
                  </w:p>
                </w:txbxContent>
              </v:textbox>
            </v:rect>
            <v:rect id="Прямоугольник 16" o:spid="_x0000_s1031" style="position:absolute;left:37719;top:19335;width:8191;height:5430;visibility:visible;mso-wrap-style:square;v-text-anchor:middle" o:gfxdata="" filled="f" strokecolor="#243f60 [1604]" strokeweight="2pt">
              <v:textbox>
                <w:txbxContent>
                  <w:p w:rsidR="002B216F" w:rsidRPr="005549FD" w:rsidRDefault="002B216F" w:rsidP="00CC5D02">
                    <w:pPr>
                      <w:jc w:val="center"/>
                      <w:rPr>
                        <w:sz w:val="10"/>
                      </w:rPr>
                    </w:pPr>
                    <w:r w:rsidRPr="005549FD">
                      <w:rPr>
                        <w:sz w:val="16"/>
                        <w:lang w:eastAsia="ru-RU"/>
                      </w:rPr>
                      <w:t>Объемные обозначения</w:t>
                    </w:r>
                  </w:p>
                </w:txbxContent>
              </v:textbox>
            </v:rect>
            <v:rect id="Прямоугольник 17" o:spid="_x0000_s1032" style="position:absolute;left:49530;top:19335;width:9810;height:5430;visibility:visible;mso-wrap-style:square;v-text-anchor:middle" o:gfxdata="" filled="f" strokecolor="#243f60 [1604]" strokeweight="2pt">
              <v:textbox>
                <w:txbxContent>
                  <w:p w:rsidR="002B216F" w:rsidRPr="005549FD" w:rsidRDefault="002B216F" w:rsidP="00CC5D02">
                    <w:pPr>
                      <w:jc w:val="center"/>
                      <w:rPr>
                        <w:sz w:val="16"/>
                      </w:rPr>
                    </w:pPr>
                    <w:r w:rsidRPr="005549FD">
                      <w:rPr>
                        <w:sz w:val="16"/>
                      </w:rPr>
                      <w:t>+</w:t>
                    </w:r>
                    <w:r>
                      <w:rPr>
                        <w:sz w:val="16"/>
                        <w:lang w:val="en-US"/>
                      </w:rPr>
                      <w:t xml:space="preserve"> </w:t>
                    </w:r>
                    <w:r w:rsidRPr="005549FD">
                      <w:rPr>
                        <w:sz w:val="16"/>
                      </w:rPr>
                      <w:t>словесные,  изобразительные обозначения</w:t>
                    </w:r>
                  </w:p>
                  <w:p w:rsidR="002B216F" w:rsidRPr="00CF37C4" w:rsidRDefault="002B216F" w:rsidP="00CC5D02">
                    <w:r>
                      <w:t>+ этикетуи</w:t>
                    </w:r>
                  </w:p>
                </w:txbxContent>
              </v:textbox>
            </v:rect>
            <v:shapetype id="_x0000_t32" coordsize="21600,21600" o:spt="32" o:oned="t" path="m,l21600,21600e" filled="f">
              <v:path arrowok="t" fillok="f" o:connecttype="none"/>
              <o:lock v:ext="edit" shapetype="t"/>
            </v:shapetype>
            <v:shape id="Прямая со стрелкой 18" o:spid="_x0000_s1033" type="#_x0000_t32" style="position:absolute;left:30765;top:8286;width:209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" strokecolor="#4579b8 [3044]">
              <v:stroke endarrow="open"/>
            </v:shape>
            <v:shape id="Прямая со стрелкой 19" o:spid="_x0000_s1034" type="#_x0000_t32" style="position:absolute;left:36957;top:8286;width:1905;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" strokecolor="#4579b8 [3044]">
              <v:stroke endarrow="open"/>
            </v:shape>
            <v:shape id="Прямая со стрелкой 20" o:spid="_x0000_s1035" type="#_x0000_t32" style="position:absolute;left:24669;top:1762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" strokecolor="#4579b8 [3044]">
              <v:stroke endarrow="open"/>
            </v:shape>
            <v:shape id="Прямая со стрелкой 21" o:spid="_x0000_s1036" type="#_x0000_t32" style="position:absolute;left:47529;top:17049;width:0;height:1715;visibility:visible;mso-wrap-style:square" o:connectortype="straight" o:gfxdata="" strokecolor="#4579b8 [3044]">
              <v:stroke endarrow="open"/>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22" o:spid="_x0000_s1037" type="#_x0000_t11" style="position:absolute;left:47053;top:21431;width:1238;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" filled="f" strokecolor="#4f81bd [3204]" strokeweight="2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5" o:spid="_x0000_s1038" type="#_x0000_t87" style="position:absolute;left:12096;top:381;width:3810;height:2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" adj="265" filled="t" fillcolor="white [3212]" strokecolor="#4579b8 [3044]"/>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26" o:spid="_x0000_s1039" type="#_x0000_t132" style="position:absolute;width:11049;height:26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" filled="f" strokecolor="#243f60 [1604]" strokeweight="2pt">
              <v:textbox>
                <w:txbxContent>
                  <w:p w:rsidR="002B216F" w:rsidRPr="005549FD" w:rsidRDefault="002B216F" w:rsidP="00CC5D02">
                    <w:pPr>
                      <w:rPr>
                        <w:sz w:val="16"/>
                        <w:szCs w:val="16"/>
                      </w:rPr>
                    </w:pPr>
                    <w:r w:rsidRPr="005549FD">
                      <w:rPr>
                        <w:sz w:val="16"/>
                        <w:szCs w:val="16"/>
                      </w:rPr>
                      <w:t>Форма товара, его  части, его упаковки, за исключением формы, или иная форма, не связанная с товаром</w:t>
                    </w:r>
                  </w:p>
                </w:txbxContent>
              </v:textbox>
            </v:shape>
            <w10:wrap type="none"/>
            <w10:anchorlock/>
          </v:group>
        </w:pict>
      </w:r>
    </w:p>
    <w:p w:rsidR="00CC5D02" w:rsidRPr="00CC5D02" w:rsidRDefault="00CC5D02" w:rsidP="00CC5D02">
      <w:pPr>
        <w:spacing w:after="0" w:line="360" w:lineRule="auto"/>
        <w:ind w:firstLine="708"/>
        <w:jc w:val="both"/>
        <w:rPr>
          <w:rFonts w:ascii="Times New Roman" w:hAnsi="Times New Roman" w:cs="Times New Roman"/>
          <w:sz w:val="28"/>
          <w:szCs w:val="28"/>
          <w:lang w:val="en-US"/>
        </w:rPr>
        <w:sectPr w:rsidR="00CC5D02" w:rsidRPr="00CC5D02" w:rsidSect="00CC5D02">
          <w:pgSz w:w="16838" w:h="11906" w:orient="landscape"/>
          <w:pgMar w:top="1701" w:right="1134" w:bottom="850" w:left="1134" w:header="708" w:footer="708" w:gutter="0"/>
          <w:cols w:space="708"/>
          <w:titlePg/>
          <w:docGrid w:linePitch="360"/>
        </w:sectPr>
      </w:pPr>
    </w:p>
    <w:p w:rsidR="00CC5D02" w:rsidRPr="00CC5D02" w:rsidRDefault="00CC5D02" w:rsidP="00CC5D02">
      <w:pPr>
        <w:numPr>
          <w:ilvl w:val="1"/>
          <w:numId w:val="34"/>
        </w:numPr>
        <w:spacing w:after="0" w:line="360" w:lineRule="auto"/>
        <w:jc w:val="both"/>
        <w:rPr>
          <w:rFonts w:ascii="Times New Roman" w:hAnsi="Times New Roman" w:cs="Times New Roman"/>
          <w:b/>
          <w:bCs/>
          <w:sz w:val="28"/>
          <w:szCs w:val="28"/>
        </w:rPr>
      </w:pPr>
      <w:bookmarkStart w:id="5" w:name="_Toc65140085"/>
      <w:r w:rsidRPr="00CC5D02">
        <w:rPr>
          <w:rFonts w:ascii="Times New Roman" w:hAnsi="Times New Roman" w:cs="Times New Roman"/>
          <w:b/>
          <w:bCs/>
          <w:sz w:val="28"/>
          <w:szCs w:val="28"/>
        </w:rPr>
        <w:lastRenderedPageBreak/>
        <w:t>Таблица понятий и определений в праве ЕС</w:t>
      </w:r>
      <w:bookmarkEnd w:id="5"/>
    </w:p>
    <w:tbl>
      <w:tblPr>
        <w:tblStyle w:val="af4"/>
        <w:tblW w:w="14850" w:type="dxa"/>
        <w:tblLayout w:type="fixed"/>
        <w:tblLook w:val="04A0"/>
      </w:tblPr>
      <w:tblGrid>
        <w:gridCol w:w="1668"/>
        <w:gridCol w:w="1842"/>
        <w:gridCol w:w="1843"/>
        <w:gridCol w:w="4536"/>
        <w:gridCol w:w="4961"/>
      </w:tblGrid>
      <w:tr w:rsidR="00CC5D02" w:rsidRPr="002B216F" w:rsidTr="002B216F">
        <w:tc>
          <w:tcPr>
            <w:tcW w:w="1668" w:type="dxa"/>
          </w:tcPr>
          <w:p w:rsidR="00CC5D02" w:rsidRPr="002B216F" w:rsidRDefault="00CC5D02" w:rsidP="002B216F">
            <w:pPr>
              <w:contextualSpacing/>
              <w:jc w:val="center"/>
              <w:rPr>
                <w:rFonts w:ascii="Times New Roman" w:hAnsi="Times New Roman" w:cs="Times New Roman"/>
                <w:b/>
                <w:sz w:val="16"/>
                <w:szCs w:val="16"/>
              </w:rPr>
            </w:pPr>
            <w:r w:rsidRPr="002B216F">
              <w:rPr>
                <w:rFonts w:ascii="Times New Roman" w:hAnsi="Times New Roman" w:cs="Times New Roman"/>
                <w:b/>
                <w:sz w:val="16"/>
                <w:szCs w:val="16"/>
              </w:rPr>
              <w:t>Виды ситуаций</w:t>
            </w:r>
          </w:p>
        </w:tc>
        <w:tc>
          <w:tcPr>
            <w:tcW w:w="1842" w:type="dxa"/>
          </w:tcPr>
          <w:p w:rsidR="00CC5D02" w:rsidRPr="002B216F" w:rsidRDefault="002B216F" w:rsidP="002B216F">
            <w:pPr>
              <w:contextualSpacing/>
              <w:jc w:val="center"/>
              <w:rPr>
                <w:rFonts w:ascii="Times New Roman" w:hAnsi="Times New Roman" w:cs="Times New Roman"/>
                <w:b/>
                <w:sz w:val="16"/>
                <w:szCs w:val="16"/>
              </w:rPr>
            </w:pPr>
            <w:proofErr w:type="gramStart"/>
            <w:r>
              <w:rPr>
                <w:rFonts w:ascii="Times New Roman" w:hAnsi="Times New Roman" w:cs="Times New Roman"/>
                <w:b/>
                <w:sz w:val="16"/>
                <w:szCs w:val="16"/>
              </w:rPr>
              <w:t>Законодательные и под</w:t>
            </w:r>
            <w:r w:rsidRPr="002B216F">
              <w:rPr>
                <w:rFonts w:ascii="Times New Roman" w:hAnsi="Times New Roman" w:cs="Times New Roman"/>
                <w:b/>
                <w:sz w:val="16"/>
                <w:szCs w:val="16"/>
              </w:rPr>
              <w:t xml:space="preserve"> </w:t>
            </w:r>
            <w:r w:rsidR="00CC5D02" w:rsidRPr="002B216F">
              <w:rPr>
                <w:rFonts w:ascii="Times New Roman" w:hAnsi="Times New Roman" w:cs="Times New Roman"/>
                <w:b/>
                <w:sz w:val="16"/>
                <w:szCs w:val="16"/>
              </w:rPr>
              <w:t>законные акты</w:t>
            </w:r>
            <w:proofErr w:type="gramEnd"/>
          </w:p>
        </w:tc>
        <w:tc>
          <w:tcPr>
            <w:tcW w:w="1843" w:type="dxa"/>
          </w:tcPr>
          <w:p w:rsidR="00CC5D02" w:rsidRPr="002B216F" w:rsidRDefault="00CC5D02" w:rsidP="002B216F">
            <w:pPr>
              <w:contextualSpacing/>
              <w:jc w:val="center"/>
              <w:rPr>
                <w:rFonts w:ascii="Times New Roman" w:hAnsi="Times New Roman" w:cs="Times New Roman"/>
                <w:b/>
                <w:sz w:val="16"/>
                <w:szCs w:val="16"/>
              </w:rPr>
            </w:pPr>
            <w:r w:rsidRPr="002B216F">
              <w:rPr>
                <w:rFonts w:ascii="Times New Roman" w:hAnsi="Times New Roman" w:cs="Times New Roman"/>
                <w:b/>
                <w:sz w:val="16"/>
                <w:szCs w:val="16"/>
              </w:rPr>
              <w:t>Объект</w:t>
            </w:r>
          </w:p>
        </w:tc>
        <w:tc>
          <w:tcPr>
            <w:tcW w:w="4536" w:type="dxa"/>
          </w:tcPr>
          <w:p w:rsidR="00CC5D02" w:rsidRPr="002B216F" w:rsidRDefault="00CC5D02" w:rsidP="002B216F">
            <w:pPr>
              <w:contextualSpacing/>
              <w:jc w:val="center"/>
              <w:rPr>
                <w:rFonts w:ascii="Times New Roman" w:hAnsi="Times New Roman" w:cs="Times New Roman"/>
                <w:b/>
                <w:sz w:val="16"/>
                <w:szCs w:val="16"/>
              </w:rPr>
            </w:pPr>
            <w:r w:rsidRPr="002B216F">
              <w:rPr>
                <w:rFonts w:ascii="Times New Roman" w:hAnsi="Times New Roman" w:cs="Times New Roman"/>
                <w:b/>
                <w:sz w:val="16"/>
                <w:szCs w:val="16"/>
              </w:rPr>
              <w:t>Определения</w:t>
            </w:r>
          </w:p>
        </w:tc>
        <w:tc>
          <w:tcPr>
            <w:tcW w:w="4961" w:type="dxa"/>
          </w:tcPr>
          <w:p w:rsidR="00CC5D02" w:rsidRPr="002B216F" w:rsidRDefault="00CC5D02" w:rsidP="002B216F">
            <w:pPr>
              <w:contextualSpacing/>
              <w:jc w:val="center"/>
              <w:rPr>
                <w:rFonts w:ascii="Times New Roman" w:hAnsi="Times New Roman" w:cs="Times New Roman"/>
                <w:b/>
                <w:sz w:val="16"/>
                <w:szCs w:val="16"/>
              </w:rPr>
            </w:pPr>
            <w:r w:rsidRPr="002B216F">
              <w:rPr>
                <w:rFonts w:ascii="Times New Roman" w:hAnsi="Times New Roman" w:cs="Times New Roman"/>
                <w:b/>
                <w:sz w:val="16"/>
                <w:szCs w:val="16"/>
              </w:rPr>
              <w:t>Дополнительно</w:t>
            </w:r>
          </w:p>
        </w:tc>
      </w:tr>
      <w:tr w:rsidR="00CC5D02" w:rsidRPr="00CC5D02" w:rsidTr="002B216F">
        <w:tc>
          <w:tcPr>
            <w:tcW w:w="1668" w:type="dxa"/>
          </w:tcPr>
          <w:p w:rsidR="00CC5D02" w:rsidRPr="00CC5D02" w:rsidRDefault="00CC5D02" w:rsidP="00CC5D02">
            <w:pPr>
              <w:contextualSpacing/>
              <w:rPr>
                <w:rFonts w:ascii="Times New Roman" w:hAnsi="Times New Roman" w:cs="Times New Roman"/>
                <w:b/>
                <w:sz w:val="16"/>
                <w:szCs w:val="16"/>
              </w:rPr>
            </w:pPr>
            <w:r w:rsidRPr="00CC5D02">
              <w:rPr>
                <w:rFonts w:ascii="Times New Roman" w:hAnsi="Times New Roman" w:cs="Times New Roman"/>
                <w:b/>
                <w:sz w:val="16"/>
                <w:szCs w:val="16"/>
              </w:rPr>
              <w:t>Вид обозначения</w:t>
            </w:r>
          </w:p>
        </w:tc>
        <w:tc>
          <w:tcPr>
            <w:tcW w:w="1842" w:type="dxa"/>
          </w:tcPr>
          <w:p w:rsidR="00CC5D02" w:rsidRPr="00CC5D02" w:rsidRDefault="00CC5D02" w:rsidP="00CC5D02">
            <w:pPr>
              <w:contextualSpacing/>
              <w:jc w:val="both"/>
              <w:rPr>
                <w:rFonts w:ascii="Times New Roman" w:hAnsi="Times New Roman" w:cs="Times New Roman"/>
                <w:sz w:val="16"/>
                <w:szCs w:val="16"/>
              </w:rPr>
            </w:pPr>
            <w:r w:rsidRPr="00CC5D02">
              <w:rPr>
                <w:rFonts w:ascii="Times New Roman" w:hAnsi="Times New Roman" w:cs="Times New Roman"/>
                <w:sz w:val="16"/>
                <w:szCs w:val="16"/>
              </w:rPr>
              <w:t>Ст. 3 Директивы ЕС 2015/2436</w:t>
            </w:r>
          </w:p>
          <w:p w:rsidR="00CC5D02" w:rsidRPr="00CC5D02" w:rsidRDefault="00CC5D02" w:rsidP="00CC5D02">
            <w:pPr>
              <w:contextualSpacing/>
              <w:jc w:val="both"/>
              <w:rPr>
                <w:rFonts w:ascii="Times New Roman" w:hAnsi="Times New Roman" w:cs="Times New Roman"/>
                <w:sz w:val="16"/>
                <w:szCs w:val="16"/>
              </w:rPr>
            </w:pPr>
            <w:r w:rsidRPr="00CC5D02">
              <w:rPr>
                <w:rFonts w:ascii="Times New Roman" w:hAnsi="Times New Roman" w:cs="Times New Roman"/>
                <w:sz w:val="16"/>
                <w:szCs w:val="16"/>
              </w:rPr>
              <w:t>Ст. 4 Регламента ЕС 2017/1001</w:t>
            </w:r>
          </w:p>
          <w:p w:rsidR="00CC5D02" w:rsidRPr="00CC5D02" w:rsidRDefault="00CC5D02" w:rsidP="00A854BE">
            <w:pPr>
              <w:contextualSpacing/>
              <w:rPr>
                <w:rFonts w:ascii="Times New Roman" w:hAnsi="Times New Roman" w:cs="Times New Roman"/>
                <w:sz w:val="16"/>
                <w:szCs w:val="16"/>
              </w:rPr>
            </w:pPr>
            <w:r w:rsidRPr="00CC5D02">
              <w:rPr>
                <w:rFonts w:ascii="Times New Roman" w:hAnsi="Times New Roman" w:cs="Times New Roman"/>
                <w:sz w:val="16"/>
                <w:szCs w:val="16"/>
              </w:rPr>
              <w:t>Ст. 3.3.с Имплементирующего регламента 2018/626</w:t>
            </w:r>
          </w:p>
        </w:tc>
        <w:tc>
          <w:tcPr>
            <w:tcW w:w="1843" w:type="dxa"/>
          </w:tcPr>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Форма товара или его упаковка</w:t>
            </w:r>
          </w:p>
          <w:p w:rsidR="00CC5D02" w:rsidRPr="00CC5D02" w:rsidRDefault="00CC5D02" w:rsidP="00CC5D02">
            <w:pPr>
              <w:contextualSpacing/>
              <w:rPr>
                <w:rFonts w:ascii="Times New Roman" w:hAnsi="Times New Roman" w:cs="Times New Roman"/>
                <w:sz w:val="16"/>
                <w:szCs w:val="16"/>
              </w:rPr>
            </w:pPr>
          </w:p>
          <w:p w:rsidR="00CC5D02" w:rsidRPr="00CC5D02" w:rsidRDefault="00CC5D02" w:rsidP="00CC5D02">
            <w:pPr>
              <w:contextualSpacing/>
              <w:rPr>
                <w:rFonts w:ascii="Times New Roman" w:hAnsi="Times New Roman" w:cs="Times New Roman"/>
                <w:sz w:val="16"/>
                <w:szCs w:val="16"/>
              </w:rPr>
            </w:pPr>
          </w:p>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Трехмерное обозначение (контейнер, упаковка, сам товар или его внешний вид)</w:t>
            </w:r>
          </w:p>
          <w:p w:rsidR="00CC5D02" w:rsidRPr="00CC5D02" w:rsidRDefault="00CC5D02" w:rsidP="00CC5D02">
            <w:pPr>
              <w:contextualSpacing/>
              <w:rPr>
                <w:rFonts w:ascii="Times New Roman" w:hAnsi="Times New Roman" w:cs="Times New Roman"/>
                <w:sz w:val="16"/>
                <w:szCs w:val="16"/>
              </w:rPr>
            </w:pPr>
          </w:p>
          <w:p w:rsidR="00CC5D02" w:rsidRPr="00CC5D02" w:rsidRDefault="00CC5D02" w:rsidP="00CC5D02">
            <w:pPr>
              <w:contextualSpacing/>
              <w:rPr>
                <w:rFonts w:ascii="Times New Roman" w:hAnsi="Times New Roman" w:cs="Times New Roman"/>
                <w:sz w:val="16"/>
                <w:szCs w:val="16"/>
              </w:rPr>
            </w:pPr>
          </w:p>
        </w:tc>
        <w:tc>
          <w:tcPr>
            <w:tcW w:w="4536" w:type="dxa"/>
          </w:tcPr>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Не только формы как таковые, но и формы, содержащие слова или изобразительные элементы, этикетки и т.д.</w:t>
            </w:r>
          </w:p>
        </w:tc>
        <w:tc>
          <w:tcPr>
            <w:tcW w:w="4961" w:type="dxa"/>
          </w:tcPr>
          <w:p w:rsidR="00CC5D02" w:rsidRPr="00CC5D02" w:rsidRDefault="00CC5D02" w:rsidP="00A854BE">
            <w:pPr>
              <w:contextualSpacing/>
              <w:jc w:val="both"/>
              <w:rPr>
                <w:rFonts w:ascii="Times New Roman" w:hAnsi="Times New Roman" w:cs="Times New Roman"/>
                <w:sz w:val="16"/>
                <w:szCs w:val="16"/>
                <w:lang w:val="en-US"/>
              </w:rPr>
            </w:pPr>
            <w:r w:rsidRPr="00CC5D02">
              <w:rPr>
                <w:rFonts w:ascii="Times New Roman" w:hAnsi="Times New Roman" w:cs="Times New Roman"/>
                <w:sz w:val="16"/>
                <w:szCs w:val="16"/>
              </w:rPr>
              <w:t xml:space="preserve">Может быть отказано в регистрации обозначению, которое представляет собой идею. Пример идеи прозрачного бачка для пылесосов одной фирмы: описание обозначения распространялось на очень широкий спектр обозначений, а изображение показывало 2 модуля пылесосов – т.е. потенциально охрана выходила за рамки одного обозначения и охватывала идею </w:t>
            </w:r>
            <w:r w:rsidRPr="00CC5D02">
              <w:rPr>
                <w:rFonts w:ascii="Times New Roman" w:hAnsi="Times New Roman" w:cs="Times New Roman"/>
                <w:sz w:val="16"/>
                <w:szCs w:val="16"/>
                <w:lang w:val="en-US"/>
              </w:rPr>
              <w:t>(</w:t>
            </w:r>
            <w:r w:rsidRPr="00CC5D02">
              <w:rPr>
                <w:rFonts w:ascii="Times New Roman" w:hAnsi="Times New Roman" w:cs="Times New Roman"/>
                <w:i/>
                <w:sz w:val="16"/>
                <w:szCs w:val="16"/>
              </w:rPr>
              <w:t>Суд</w:t>
            </w:r>
            <w:r w:rsidRPr="00CC5D02">
              <w:rPr>
                <w:rFonts w:ascii="Times New Roman" w:hAnsi="Times New Roman" w:cs="Times New Roman"/>
                <w:i/>
                <w:sz w:val="16"/>
                <w:szCs w:val="16"/>
                <w:lang w:val="en-US"/>
              </w:rPr>
              <w:t xml:space="preserve"> </w:t>
            </w:r>
            <w:r w:rsidRPr="00CC5D02">
              <w:rPr>
                <w:rFonts w:ascii="Times New Roman" w:hAnsi="Times New Roman" w:cs="Times New Roman"/>
                <w:i/>
                <w:sz w:val="16"/>
                <w:szCs w:val="16"/>
              </w:rPr>
              <w:t>ЕС</w:t>
            </w:r>
            <w:r w:rsidRPr="00CC5D02">
              <w:rPr>
                <w:rFonts w:ascii="Times New Roman" w:hAnsi="Times New Roman" w:cs="Times New Roman"/>
                <w:i/>
                <w:sz w:val="16"/>
                <w:szCs w:val="16"/>
                <w:lang w:val="en-US"/>
              </w:rPr>
              <w:t xml:space="preserve">, 25.01.2007, </w:t>
            </w:r>
            <w:r w:rsidRPr="00CC5D02">
              <w:rPr>
                <w:rFonts w:ascii="Times New Roman" w:hAnsi="Times New Roman" w:cs="Times New Roman"/>
                <w:i/>
                <w:sz w:val="16"/>
                <w:szCs w:val="16"/>
              </w:rPr>
              <w:t>дело</w:t>
            </w:r>
            <w:r w:rsidRPr="00CC5D02">
              <w:rPr>
                <w:rFonts w:ascii="Times New Roman" w:hAnsi="Times New Roman" w:cs="Times New Roman"/>
                <w:i/>
                <w:sz w:val="16"/>
                <w:szCs w:val="16"/>
                <w:lang w:val="en-US"/>
              </w:rPr>
              <w:t xml:space="preserve"> </w:t>
            </w:r>
            <w:r w:rsidRPr="00CC5D02">
              <w:rPr>
                <w:rFonts w:ascii="Times New Roman" w:hAnsi="Times New Roman" w:cs="Times New Roman"/>
                <w:i/>
                <w:sz w:val="16"/>
                <w:szCs w:val="16"/>
              </w:rPr>
              <w:t>С</w:t>
            </w:r>
            <w:r w:rsidRPr="00CC5D02">
              <w:rPr>
                <w:rFonts w:ascii="Times New Roman" w:hAnsi="Times New Roman" w:cs="Times New Roman"/>
                <w:i/>
                <w:sz w:val="16"/>
                <w:szCs w:val="16"/>
                <w:lang w:val="en-US"/>
              </w:rPr>
              <w:t>-321/03,</w:t>
            </w:r>
            <w:r w:rsidRPr="00CC5D02">
              <w:rPr>
                <w:rFonts w:ascii="Times New Roman" w:hAnsi="Times New Roman" w:cs="Times New Roman"/>
                <w:sz w:val="16"/>
                <w:szCs w:val="16"/>
                <w:lang w:val="en-US"/>
              </w:rPr>
              <w:t xml:space="preserve"> </w:t>
            </w:r>
            <w:r w:rsidRPr="00CC5D02">
              <w:rPr>
                <w:rFonts w:ascii="Times New Roman" w:hAnsi="Times New Roman" w:cs="Times New Roman"/>
                <w:i/>
                <w:sz w:val="16"/>
                <w:szCs w:val="16"/>
                <w:lang w:val="en-US"/>
              </w:rPr>
              <w:t>Dyson Ltd c/ Registrar of Trade</w:t>
            </w:r>
            <w:r w:rsidRPr="00CC5D02">
              <w:rPr>
                <w:rFonts w:ascii="Times New Roman" w:hAnsi="Times New Roman" w:cs="Times New Roman"/>
                <w:sz w:val="16"/>
                <w:szCs w:val="16"/>
                <w:lang w:val="en-US"/>
              </w:rPr>
              <w:t xml:space="preserve"> </w:t>
            </w:r>
            <w:r w:rsidRPr="00CC5D02">
              <w:rPr>
                <w:rFonts w:ascii="Times New Roman" w:hAnsi="Times New Roman" w:cs="Times New Roman"/>
                <w:i/>
                <w:sz w:val="16"/>
                <w:szCs w:val="16"/>
                <w:lang w:val="en-US"/>
              </w:rPr>
              <w:t>Marks</w:t>
            </w:r>
            <w:r w:rsidRPr="00CC5D02">
              <w:rPr>
                <w:rFonts w:ascii="Times New Roman" w:hAnsi="Times New Roman" w:cs="Times New Roman"/>
                <w:sz w:val="16"/>
                <w:szCs w:val="16"/>
                <w:lang w:val="en-US"/>
              </w:rPr>
              <w:t>).</w:t>
            </w:r>
          </w:p>
          <w:p w:rsidR="00CC5D02" w:rsidRPr="00CC5D02" w:rsidRDefault="00CC5D02" w:rsidP="00A854BE">
            <w:pPr>
              <w:contextualSpacing/>
              <w:jc w:val="both"/>
              <w:rPr>
                <w:rFonts w:ascii="Times New Roman" w:hAnsi="Times New Roman" w:cs="Times New Roman"/>
                <w:sz w:val="16"/>
                <w:szCs w:val="16"/>
                <w:lang w:val="en-US"/>
              </w:rPr>
            </w:pPr>
          </w:p>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Обозначение, в котором плоско изображен товар, указанный в заявке, также может анализироваться как объемное изображение этого товара (пример: плоское изображение лезвия ножа (</w:t>
            </w:r>
            <w:r w:rsidRPr="00CC5D02">
              <w:rPr>
                <w:rFonts w:ascii="Times New Roman" w:hAnsi="Times New Roman" w:cs="Times New Roman"/>
                <w:i/>
                <w:sz w:val="16"/>
                <w:szCs w:val="16"/>
              </w:rPr>
              <w:t xml:space="preserve">Суд ЕС, 6.03.2014, объединенные дела С-337/12 </w:t>
            </w:r>
            <w:r w:rsidRPr="00CC5D02">
              <w:rPr>
                <w:rFonts w:ascii="Times New Roman" w:hAnsi="Times New Roman" w:cs="Times New Roman"/>
                <w:i/>
                <w:sz w:val="16"/>
                <w:szCs w:val="16"/>
                <w:lang w:val="en-US"/>
              </w:rPr>
              <w:t>P</w:t>
            </w:r>
            <w:r w:rsidRPr="00CC5D02">
              <w:rPr>
                <w:rFonts w:ascii="Times New Roman" w:hAnsi="Times New Roman" w:cs="Times New Roman"/>
                <w:i/>
                <w:sz w:val="16"/>
                <w:szCs w:val="16"/>
              </w:rPr>
              <w:t xml:space="preserve"> –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-340/12 </w:t>
            </w:r>
            <w:r w:rsidRPr="00CC5D02">
              <w:rPr>
                <w:rFonts w:ascii="Times New Roman" w:hAnsi="Times New Roman" w:cs="Times New Roman"/>
                <w:i/>
                <w:sz w:val="16"/>
                <w:szCs w:val="16"/>
                <w:lang w:val="en-US"/>
              </w:rPr>
              <w:t>P</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Pi</w:t>
            </w:r>
            <w:r w:rsidRPr="00CC5D02">
              <w:rPr>
                <w:rFonts w:ascii="Times New Roman" w:hAnsi="Times New Roman" w:cs="Times New Roman"/>
                <w:i/>
                <w:sz w:val="16"/>
                <w:szCs w:val="16"/>
              </w:rPr>
              <w:t>-</w:t>
            </w:r>
            <w:r w:rsidRPr="00CC5D02">
              <w:rPr>
                <w:rFonts w:ascii="Times New Roman" w:hAnsi="Times New Roman" w:cs="Times New Roman"/>
                <w:i/>
                <w:sz w:val="16"/>
                <w:szCs w:val="16"/>
                <w:lang w:val="en-US"/>
              </w:rPr>
              <w:t>Design</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AG</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e</w:t>
            </w:r>
            <w:r w:rsidRPr="00CC5D02">
              <w:rPr>
                <w:rFonts w:ascii="Times New Roman" w:hAnsi="Times New Roman" w:cs="Times New Roman"/>
                <w:i/>
                <w:sz w:val="16"/>
                <w:szCs w:val="16"/>
              </w:rPr>
              <w:t>.</w:t>
            </w:r>
            <w:r w:rsidRPr="00CC5D02">
              <w:rPr>
                <w:rFonts w:ascii="Times New Roman" w:hAnsi="Times New Roman" w:cs="Times New Roman"/>
                <w:i/>
                <w:sz w:val="16"/>
                <w:szCs w:val="16"/>
                <w:lang w:val="en-US"/>
              </w:rPr>
              <w:t>a</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OHIM</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Yoshida</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Metal</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Industry</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Co</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Ltd</w:t>
            </w:r>
            <w:r w:rsidRPr="00CC5D02">
              <w:rPr>
                <w:rFonts w:ascii="Times New Roman" w:hAnsi="Times New Roman" w:cs="Times New Roman"/>
                <w:i/>
                <w:sz w:val="16"/>
                <w:szCs w:val="16"/>
              </w:rPr>
              <w:t>.</w:t>
            </w:r>
            <w:r w:rsidRPr="00CC5D02">
              <w:rPr>
                <w:rFonts w:ascii="Times New Roman" w:hAnsi="Times New Roman" w:cs="Times New Roman"/>
                <w:sz w:val="16"/>
                <w:szCs w:val="16"/>
              </w:rPr>
              <w:t>)</w:t>
            </w:r>
          </w:p>
        </w:tc>
      </w:tr>
      <w:tr w:rsidR="00CC5D02" w:rsidRPr="00CC5D02" w:rsidTr="002B216F">
        <w:tc>
          <w:tcPr>
            <w:tcW w:w="1668" w:type="dxa"/>
          </w:tcPr>
          <w:p w:rsidR="00CC5D02" w:rsidRPr="00CC5D02" w:rsidRDefault="00CC5D02" w:rsidP="00CC5D02">
            <w:pPr>
              <w:contextualSpacing/>
              <w:rPr>
                <w:rFonts w:ascii="Times New Roman" w:hAnsi="Times New Roman" w:cs="Times New Roman"/>
                <w:b/>
                <w:sz w:val="16"/>
                <w:szCs w:val="16"/>
              </w:rPr>
            </w:pPr>
            <w:r w:rsidRPr="00CC5D02">
              <w:rPr>
                <w:rFonts w:ascii="Times New Roman" w:hAnsi="Times New Roman" w:cs="Times New Roman"/>
                <w:b/>
                <w:sz w:val="16"/>
                <w:szCs w:val="16"/>
              </w:rPr>
              <w:t xml:space="preserve">Условия: </w:t>
            </w:r>
          </w:p>
          <w:p w:rsidR="00CC5D02" w:rsidRPr="00CC5D02" w:rsidRDefault="00CC5D02" w:rsidP="00CC5D02">
            <w:pPr>
              <w:contextualSpacing/>
              <w:rPr>
                <w:rFonts w:ascii="Times New Roman" w:hAnsi="Times New Roman" w:cs="Times New Roman"/>
                <w:sz w:val="16"/>
                <w:szCs w:val="16"/>
              </w:rPr>
            </w:pPr>
          </w:p>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-Различительная способность обозначения</w:t>
            </w:r>
          </w:p>
          <w:p w:rsidR="00CC5D02" w:rsidRPr="00CC5D02" w:rsidRDefault="00CC5D02" w:rsidP="00CC5D02">
            <w:pPr>
              <w:contextualSpacing/>
              <w:rPr>
                <w:rFonts w:ascii="Times New Roman" w:hAnsi="Times New Roman" w:cs="Times New Roman"/>
                <w:sz w:val="16"/>
                <w:szCs w:val="16"/>
              </w:rPr>
            </w:pPr>
          </w:p>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 Описательный характер обозначения</w:t>
            </w:r>
          </w:p>
          <w:p w:rsidR="00CC5D02" w:rsidRPr="00CC5D02" w:rsidRDefault="00CC5D02" w:rsidP="00CC5D02">
            <w:pPr>
              <w:contextualSpacing/>
              <w:rPr>
                <w:rFonts w:ascii="Times New Roman" w:hAnsi="Times New Roman" w:cs="Times New Roman"/>
                <w:sz w:val="16"/>
                <w:szCs w:val="16"/>
              </w:rPr>
            </w:pPr>
          </w:p>
        </w:tc>
        <w:tc>
          <w:tcPr>
            <w:tcW w:w="1842" w:type="dxa"/>
          </w:tcPr>
          <w:p w:rsidR="00CC5D02" w:rsidRPr="00CC5D02" w:rsidRDefault="00CC5D02" w:rsidP="00CC5D02">
            <w:pPr>
              <w:contextualSpacing/>
              <w:jc w:val="both"/>
              <w:rPr>
                <w:rFonts w:ascii="Times New Roman" w:hAnsi="Times New Roman" w:cs="Times New Roman"/>
                <w:sz w:val="16"/>
                <w:szCs w:val="16"/>
              </w:rPr>
            </w:pPr>
            <w:r w:rsidRPr="00CC5D02">
              <w:rPr>
                <w:rFonts w:ascii="Times New Roman" w:hAnsi="Times New Roman" w:cs="Times New Roman"/>
                <w:sz w:val="16"/>
                <w:szCs w:val="16"/>
              </w:rPr>
              <w:t>Ст. 4.</w:t>
            </w:r>
            <w:r w:rsidRPr="00CC5D02">
              <w:rPr>
                <w:rFonts w:ascii="Times New Roman" w:hAnsi="Times New Roman" w:cs="Times New Roman"/>
                <w:sz w:val="16"/>
                <w:szCs w:val="16"/>
                <w:lang w:val="en-US"/>
              </w:rPr>
              <w:t>b</w:t>
            </w:r>
            <w:r w:rsidR="00A854BE">
              <w:rPr>
                <w:rFonts w:ascii="Times New Roman" w:hAnsi="Times New Roman" w:cs="Times New Roman"/>
                <w:sz w:val="16"/>
                <w:szCs w:val="16"/>
              </w:rPr>
              <w:t xml:space="preserve"> и с</w:t>
            </w:r>
            <w:r w:rsidRPr="00CC5D02">
              <w:rPr>
                <w:rFonts w:ascii="Times New Roman" w:hAnsi="Times New Roman" w:cs="Times New Roman"/>
                <w:sz w:val="16"/>
                <w:szCs w:val="16"/>
              </w:rPr>
              <w:t xml:space="preserve"> Директивы ЕС 2015/2436</w:t>
            </w:r>
          </w:p>
          <w:p w:rsidR="00CC5D02" w:rsidRPr="00CC5D02" w:rsidRDefault="00CC5D02" w:rsidP="00CC5D02">
            <w:pPr>
              <w:contextualSpacing/>
              <w:jc w:val="both"/>
              <w:rPr>
                <w:rFonts w:ascii="Times New Roman" w:hAnsi="Times New Roman" w:cs="Times New Roman"/>
                <w:sz w:val="16"/>
                <w:szCs w:val="16"/>
              </w:rPr>
            </w:pPr>
            <w:r w:rsidRPr="00CC5D02">
              <w:rPr>
                <w:rFonts w:ascii="Times New Roman" w:hAnsi="Times New Roman" w:cs="Times New Roman"/>
                <w:sz w:val="16"/>
                <w:szCs w:val="16"/>
              </w:rPr>
              <w:t>Ст. 7.</w:t>
            </w:r>
            <w:r w:rsidRPr="00CC5D02">
              <w:rPr>
                <w:rFonts w:ascii="Times New Roman" w:hAnsi="Times New Roman" w:cs="Times New Roman"/>
                <w:sz w:val="16"/>
                <w:szCs w:val="16"/>
                <w:lang w:val="en-US"/>
              </w:rPr>
              <w:t>b</w:t>
            </w:r>
            <w:r w:rsidRPr="00CC5D02">
              <w:rPr>
                <w:rFonts w:ascii="Times New Roman" w:hAnsi="Times New Roman" w:cs="Times New Roman"/>
                <w:sz w:val="16"/>
                <w:szCs w:val="16"/>
              </w:rPr>
              <w:t xml:space="preserve"> и с Регламента ЕС 2017/1001</w:t>
            </w:r>
          </w:p>
        </w:tc>
        <w:tc>
          <w:tcPr>
            <w:tcW w:w="1843" w:type="dxa"/>
          </w:tcPr>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Форма товара или его упаковки = расширительная трактовка, принимаются во внимание все характеристики</w:t>
            </w:r>
          </w:p>
        </w:tc>
        <w:tc>
          <w:tcPr>
            <w:tcW w:w="4536" w:type="dxa"/>
          </w:tcPr>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«Не только формы как таковые, но и формы, содержащие слова или изобразительные элементы, этикетки и т.д.» (Руководство Ведомства)</w:t>
            </w:r>
          </w:p>
        </w:tc>
        <w:tc>
          <w:tcPr>
            <w:tcW w:w="4961" w:type="dxa"/>
          </w:tcPr>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Объемные товарные знаки должны анализироваться по тем же принципам, что и иные товарные знаки, но на практике их сложнее зарегистрировать (</w:t>
            </w:r>
            <w:r w:rsidRPr="00CC5D02">
              <w:rPr>
                <w:rFonts w:ascii="Times New Roman" w:hAnsi="Times New Roman" w:cs="Times New Roman"/>
                <w:i/>
                <w:sz w:val="16"/>
                <w:szCs w:val="16"/>
              </w:rPr>
              <w:t xml:space="preserve">Суд ЕС, 8.04.2003, объединенные дела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-53/01,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-54/01 и С-55/01, </w:t>
            </w:r>
            <w:r w:rsidRPr="00CC5D02">
              <w:rPr>
                <w:rFonts w:ascii="Times New Roman" w:hAnsi="Times New Roman" w:cs="Times New Roman"/>
                <w:i/>
                <w:sz w:val="16"/>
                <w:szCs w:val="16"/>
                <w:lang w:val="en-US"/>
              </w:rPr>
              <w:t>Linde</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AG</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Winward</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Industries</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Inc</w:t>
            </w:r>
            <w:r w:rsidRPr="00CC5D02">
              <w:rPr>
                <w:rFonts w:ascii="Times New Roman" w:hAnsi="Times New Roman" w:cs="Times New Roman"/>
                <w:i/>
                <w:sz w:val="16"/>
                <w:szCs w:val="16"/>
              </w:rPr>
              <w:t xml:space="preserve">., </w:t>
            </w:r>
            <w:proofErr w:type="spellStart"/>
            <w:r w:rsidRPr="00CC5D02">
              <w:rPr>
                <w:rFonts w:ascii="Times New Roman" w:hAnsi="Times New Roman" w:cs="Times New Roman"/>
                <w:i/>
                <w:sz w:val="16"/>
                <w:szCs w:val="16"/>
                <w:lang w:val="en-US"/>
              </w:rPr>
              <w:t>Rado</w:t>
            </w:r>
            <w:proofErr w:type="spellEnd"/>
            <w:r w:rsidRPr="00CC5D02">
              <w:rPr>
                <w:rFonts w:ascii="Times New Roman" w:hAnsi="Times New Roman" w:cs="Times New Roman"/>
                <w:i/>
                <w:sz w:val="16"/>
                <w:szCs w:val="16"/>
              </w:rPr>
              <w:t xml:space="preserve"> </w:t>
            </w:r>
            <w:proofErr w:type="spellStart"/>
            <w:r w:rsidRPr="00CC5D02">
              <w:rPr>
                <w:rFonts w:ascii="Times New Roman" w:hAnsi="Times New Roman" w:cs="Times New Roman"/>
                <w:i/>
                <w:sz w:val="16"/>
                <w:szCs w:val="16"/>
                <w:lang w:val="en-US"/>
              </w:rPr>
              <w:t>Uhren</w:t>
            </w:r>
            <w:proofErr w:type="spellEnd"/>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AG</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DPMA</w:t>
            </w:r>
            <w:r w:rsidRPr="00CC5D02">
              <w:rPr>
                <w:rFonts w:ascii="Times New Roman" w:hAnsi="Times New Roman" w:cs="Times New Roman"/>
                <w:i/>
                <w:sz w:val="16"/>
                <w:szCs w:val="16"/>
              </w:rPr>
              <w:t>, §</w:t>
            </w:r>
            <w:r w:rsidRPr="00CC5D02">
              <w:rPr>
                <w:rFonts w:ascii="Times New Roman" w:hAnsi="Times New Roman" w:cs="Times New Roman"/>
                <w:i/>
                <w:sz w:val="16"/>
                <w:szCs w:val="16"/>
                <w:lang w:val="fr-FR"/>
              </w:rPr>
              <w:t> </w:t>
            </w:r>
            <w:r w:rsidRPr="00CC5D02">
              <w:rPr>
                <w:rFonts w:ascii="Times New Roman" w:hAnsi="Times New Roman" w:cs="Times New Roman"/>
                <w:i/>
                <w:sz w:val="16"/>
                <w:szCs w:val="16"/>
              </w:rPr>
              <w:t>46–48</w:t>
            </w:r>
            <w:r w:rsidRPr="00CC5D02">
              <w:rPr>
                <w:rFonts w:ascii="Times New Roman" w:hAnsi="Times New Roman" w:cs="Times New Roman"/>
                <w:sz w:val="16"/>
                <w:szCs w:val="16"/>
              </w:rPr>
              <w:t>).</w:t>
            </w:r>
          </w:p>
          <w:p w:rsidR="00CC5D02" w:rsidRPr="00CC5D02" w:rsidRDefault="00CC5D02" w:rsidP="00A854BE">
            <w:pPr>
              <w:contextualSpacing/>
              <w:jc w:val="both"/>
              <w:rPr>
                <w:rFonts w:ascii="Times New Roman" w:hAnsi="Times New Roman" w:cs="Times New Roman"/>
                <w:sz w:val="16"/>
                <w:szCs w:val="16"/>
              </w:rPr>
            </w:pPr>
          </w:p>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Повышенный критерий различительной способности: «сильное отличие от норм и обычаев сферы производства товаров и, таким образом, выполнение основной функции указания происхождения» (</w:t>
            </w:r>
            <w:r w:rsidRPr="00CC5D02">
              <w:rPr>
                <w:rFonts w:ascii="Times New Roman" w:hAnsi="Times New Roman" w:cs="Times New Roman"/>
                <w:i/>
                <w:sz w:val="16"/>
                <w:szCs w:val="16"/>
              </w:rPr>
              <w:t xml:space="preserve">Суд ЕС, 12.02.2004, дело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-218/01 </w:t>
            </w:r>
            <w:r w:rsidRPr="00CC5D02">
              <w:rPr>
                <w:rFonts w:ascii="Times New Roman" w:hAnsi="Times New Roman" w:cs="Times New Roman"/>
                <w:i/>
                <w:sz w:val="16"/>
                <w:szCs w:val="16"/>
                <w:lang w:val="en-US"/>
              </w:rPr>
              <w:t>P</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Henkel</w:t>
            </w:r>
            <w:r w:rsidRPr="00CC5D02">
              <w:rPr>
                <w:rFonts w:ascii="Times New Roman" w:hAnsi="Times New Roman" w:cs="Times New Roman"/>
                <w:i/>
                <w:sz w:val="16"/>
                <w:szCs w:val="16"/>
              </w:rPr>
              <w:t xml:space="preserve"> </w:t>
            </w:r>
            <w:proofErr w:type="spellStart"/>
            <w:r w:rsidRPr="00CC5D02">
              <w:rPr>
                <w:rFonts w:ascii="Times New Roman" w:hAnsi="Times New Roman" w:cs="Times New Roman"/>
                <w:i/>
                <w:sz w:val="16"/>
                <w:szCs w:val="16"/>
                <w:lang w:val="en-US"/>
              </w:rPr>
              <w:t>KGaA</w:t>
            </w:r>
            <w:proofErr w:type="spellEnd"/>
            <w:r w:rsidRPr="00CC5D02">
              <w:rPr>
                <w:rFonts w:ascii="Times New Roman" w:hAnsi="Times New Roman" w:cs="Times New Roman"/>
                <w:i/>
                <w:sz w:val="16"/>
                <w:szCs w:val="16"/>
              </w:rPr>
              <w:t>, §</w:t>
            </w:r>
            <w:r w:rsidRPr="00CC5D02">
              <w:rPr>
                <w:rFonts w:ascii="Times New Roman" w:hAnsi="Times New Roman" w:cs="Times New Roman"/>
                <w:i/>
                <w:sz w:val="16"/>
                <w:szCs w:val="16"/>
                <w:lang w:val="fr-FR"/>
              </w:rPr>
              <w:t> </w:t>
            </w:r>
            <w:r w:rsidRPr="00CC5D02">
              <w:rPr>
                <w:rFonts w:ascii="Times New Roman" w:hAnsi="Times New Roman" w:cs="Times New Roman"/>
                <w:i/>
                <w:sz w:val="16"/>
                <w:szCs w:val="16"/>
              </w:rPr>
              <w:t>49</w:t>
            </w:r>
            <w:r w:rsidRPr="00CC5D02">
              <w:rPr>
                <w:rFonts w:ascii="Times New Roman" w:hAnsi="Times New Roman" w:cs="Times New Roman"/>
                <w:sz w:val="16"/>
                <w:szCs w:val="16"/>
              </w:rPr>
              <w:t>).</w:t>
            </w:r>
          </w:p>
          <w:p w:rsidR="00CC5D02" w:rsidRPr="00CC5D02" w:rsidRDefault="00CC5D02" w:rsidP="00A854BE">
            <w:pPr>
              <w:contextualSpacing/>
              <w:jc w:val="both"/>
              <w:rPr>
                <w:rFonts w:ascii="Times New Roman" w:hAnsi="Times New Roman" w:cs="Times New Roman"/>
                <w:sz w:val="16"/>
                <w:szCs w:val="16"/>
              </w:rPr>
            </w:pPr>
          </w:p>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Очень редко используется критерий описательности обозначения, в основно</w:t>
            </w:r>
            <w:r w:rsidR="00A854BE">
              <w:rPr>
                <w:rFonts w:ascii="Times New Roman" w:hAnsi="Times New Roman" w:cs="Times New Roman"/>
                <w:sz w:val="16"/>
                <w:szCs w:val="16"/>
              </w:rPr>
              <w:t>м в подтверждение отсутствия различительной способности</w:t>
            </w:r>
          </w:p>
        </w:tc>
      </w:tr>
      <w:tr w:rsidR="00CC5D02" w:rsidRPr="00CC5D02" w:rsidTr="002B216F">
        <w:tc>
          <w:tcPr>
            <w:tcW w:w="1668" w:type="dxa"/>
            <w:vMerge w:val="restart"/>
          </w:tcPr>
          <w:p w:rsidR="00CC5D02" w:rsidRPr="00CC5D02" w:rsidRDefault="00CC5D02" w:rsidP="00CC5D02">
            <w:pPr>
              <w:contextualSpacing/>
              <w:rPr>
                <w:rFonts w:ascii="Times New Roman" w:hAnsi="Times New Roman" w:cs="Times New Roman"/>
                <w:b/>
                <w:sz w:val="16"/>
                <w:szCs w:val="16"/>
              </w:rPr>
            </w:pPr>
            <w:r w:rsidRPr="00CC5D02">
              <w:rPr>
                <w:rFonts w:ascii="Times New Roman" w:hAnsi="Times New Roman" w:cs="Times New Roman"/>
                <w:b/>
                <w:sz w:val="16"/>
                <w:szCs w:val="16"/>
              </w:rPr>
              <w:t xml:space="preserve">Постоянные исключения </w:t>
            </w:r>
            <w:r w:rsidRPr="00CC5D02">
              <w:rPr>
                <w:rFonts w:ascii="Times New Roman" w:hAnsi="Times New Roman" w:cs="Times New Roman"/>
                <w:sz w:val="16"/>
                <w:szCs w:val="16"/>
              </w:rPr>
              <w:t>(природа товара, технический результат, качество/ценность товара)</w:t>
            </w:r>
          </w:p>
          <w:p w:rsidR="00CC5D02" w:rsidRPr="00CC5D02" w:rsidRDefault="00CC5D02" w:rsidP="00CC5D02">
            <w:pPr>
              <w:contextualSpacing/>
              <w:jc w:val="both"/>
              <w:rPr>
                <w:rFonts w:ascii="Times New Roman" w:hAnsi="Times New Roman" w:cs="Times New Roman"/>
                <w:sz w:val="16"/>
                <w:szCs w:val="16"/>
              </w:rPr>
            </w:pPr>
            <w:r w:rsidRPr="00CC5D02">
              <w:rPr>
                <w:rFonts w:ascii="Times New Roman" w:hAnsi="Times New Roman" w:cs="Times New Roman"/>
                <w:sz w:val="16"/>
                <w:szCs w:val="16"/>
              </w:rPr>
              <w:t>(такие обозначения не могут обрести различительную способность от их использования, в отличие от пункта 1 статьи 1483 ГК РФ)</w:t>
            </w:r>
          </w:p>
        </w:tc>
        <w:tc>
          <w:tcPr>
            <w:tcW w:w="1842" w:type="dxa"/>
          </w:tcPr>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До реформы:</w:t>
            </w:r>
          </w:p>
          <w:p w:rsidR="00CC5D02" w:rsidRPr="00CC5D02" w:rsidRDefault="00CC5D02" w:rsidP="00CC5D02">
            <w:pPr>
              <w:contextualSpacing/>
              <w:rPr>
                <w:rFonts w:ascii="Times New Roman" w:hAnsi="Times New Roman" w:cs="Times New Roman"/>
                <w:sz w:val="16"/>
                <w:szCs w:val="16"/>
              </w:rPr>
            </w:pPr>
          </w:p>
          <w:p w:rsidR="00CC5D02" w:rsidRPr="00CC5D02" w:rsidRDefault="00CC5D02" w:rsidP="00A854BE">
            <w:pPr>
              <w:contextualSpacing/>
              <w:rPr>
                <w:rFonts w:ascii="Times New Roman" w:hAnsi="Times New Roman" w:cs="Times New Roman"/>
                <w:sz w:val="16"/>
                <w:szCs w:val="16"/>
              </w:rPr>
            </w:pPr>
            <w:r w:rsidRPr="00CC5D02">
              <w:rPr>
                <w:rFonts w:ascii="Times New Roman" w:hAnsi="Times New Roman" w:cs="Times New Roman"/>
                <w:sz w:val="16"/>
                <w:szCs w:val="16"/>
              </w:rPr>
              <w:t>Ст. 4.1.е) Директивы 2008/95, ст. 7.1.е) Регламента 207/2009</w:t>
            </w:r>
          </w:p>
        </w:tc>
        <w:tc>
          <w:tcPr>
            <w:tcW w:w="1843" w:type="dxa"/>
          </w:tcPr>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Форма товара</w:t>
            </w:r>
          </w:p>
          <w:p w:rsidR="00CC5D02" w:rsidRPr="00CC5D02" w:rsidRDefault="00CC5D02" w:rsidP="00CC5D02">
            <w:pPr>
              <w:contextualSpacing/>
              <w:rPr>
                <w:rFonts w:ascii="Times New Roman" w:hAnsi="Times New Roman" w:cs="Times New Roman"/>
                <w:sz w:val="16"/>
                <w:szCs w:val="16"/>
              </w:rPr>
            </w:pPr>
          </w:p>
          <w:p w:rsidR="00CC5D02" w:rsidRPr="00CC5D02" w:rsidRDefault="00CC5D02" w:rsidP="00CC5D02">
            <w:pPr>
              <w:contextualSpacing/>
              <w:rPr>
                <w:rFonts w:ascii="Times New Roman" w:hAnsi="Times New Roman" w:cs="Times New Roman"/>
                <w:sz w:val="16"/>
                <w:szCs w:val="16"/>
              </w:rPr>
            </w:pPr>
          </w:p>
        </w:tc>
        <w:tc>
          <w:tcPr>
            <w:tcW w:w="4536" w:type="dxa"/>
          </w:tcPr>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 xml:space="preserve">Узкое определение «формы»: </w:t>
            </w:r>
          </w:p>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«совокупность линий и контуров, которые определяют границы соответствующего товара в пространстве» (</w:t>
            </w:r>
            <w:r w:rsidRPr="00CC5D02">
              <w:rPr>
                <w:rFonts w:ascii="Times New Roman" w:hAnsi="Times New Roman" w:cs="Times New Roman"/>
                <w:i/>
                <w:sz w:val="16"/>
                <w:szCs w:val="16"/>
              </w:rPr>
              <w:t xml:space="preserve">Суд ЕС, 12.06.2018, дело </w:t>
            </w:r>
            <w:r w:rsidRPr="00CC5D02">
              <w:rPr>
                <w:rFonts w:ascii="Times New Roman" w:hAnsi="Times New Roman" w:cs="Times New Roman"/>
                <w:i/>
                <w:sz w:val="16"/>
                <w:szCs w:val="16"/>
                <w:lang w:val="fr-FR"/>
              </w:rPr>
              <w:t>C</w:t>
            </w:r>
            <w:r w:rsidRPr="00CC5D02">
              <w:rPr>
                <w:rFonts w:ascii="Times New Roman" w:hAnsi="Times New Roman" w:cs="Times New Roman"/>
                <w:i/>
                <w:sz w:val="16"/>
                <w:szCs w:val="16"/>
              </w:rPr>
              <w:t xml:space="preserve">-163/16, </w:t>
            </w:r>
            <w:r w:rsidRPr="00CC5D02">
              <w:rPr>
                <w:rFonts w:ascii="Times New Roman" w:hAnsi="Times New Roman" w:cs="Times New Roman"/>
                <w:i/>
                <w:sz w:val="16"/>
                <w:szCs w:val="16"/>
                <w:lang w:val="fr-FR"/>
              </w:rPr>
              <w:t>Louboutin</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fr-FR"/>
              </w:rPr>
              <w:t>et</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fr-FR"/>
              </w:rPr>
              <w:t>Christian</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fr-FR"/>
              </w:rPr>
              <w:t>Louboutin</w:t>
            </w:r>
            <w:r w:rsidRPr="00CC5D02">
              <w:rPr>
                <w:rFonts w:ascii="Times New Roman" w:hAnsi="Times New Roman" w:cs="Times New Roman"/>
                <w:i/>
                <w:sz w:val="16"/>
                <w:szCs w:val="16"/>
              </w:rPr>
              <w:t>, §</w:t>
            </w:r>
            <w:r w:rsidRPr="00CC5D02">
              <w:rPr>
                <w:rFonts w:ascii="Times New Roman" w:hAnsi="Times New Roman" w:cs="Times New Roman"/>
                <w:i/>
                <w:sz w:val="16"/>
                <w:szCs w:val="16"/>
                <w:lang w:val="fr-FR"/>
              </w:rPr>
              <w:t> </w:t>
            </w:r>
            <w:r w:rsidRPr="00CC5D02">
              <w:rPr>
                <w:rFonts w:ascii="Times New Roman" w:hAnsi="Times New Roman" w:cs="Times New Roman"/>
                <w:i/>
                <w:sz w:val="16"/>
                <w:szCs w:val="16"/>
              </w:rPr>
              <w:t>21</w:t>
            </w:r>
            <w:r w:rsidRPr="00CC5D02">
              <w:rPr>
                <w:rFonts w:ascii="Times New Roman" w:hAnsi="Times New Roman" w:cs="Times New Roman"/>
                <w:sz w:val="16"/>
                <w:szCs w:val="16"/>
              </w:rPr>
              <w:t>). Это определение дано не только для статей об исключениях, а для всей директивы / регламента.</w:t>
            </w:r>
          </w:p>
          <w:p w:rsidR="00CC5D02" w:rsidRPr="00CC5D02" w:rsidRDefault="00CC5D02" w:rsidP="00A854BE">
            <w:pPr>
              <w:contextualSpacing/>
              <w:jc w:val="both"/>
              <w:rPr>
                <w:rFonts w:ascii="Times New Roman" w:hAnsi="Times New Roman" w:cs="Times New Roman"/>
                <w:sz w:val="16"/>
                <w:szCs w:val="16"/>
              </w:rPr>
            </w:pPr>
          </w:p>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Акцент сделан на «основные характеристики формы товара» (</w:t>
            </w:r>
            <w:r w:rsidRPr="00CC5D02">
              <w:rPr>
                <w:rFonts w:ascii="Times New Roman" w:hAnsi="Times New Roman" w:cs="Times New Roman"/>
                <w:i/>
                <w:sz w:val="16"/>
                <w:szCs w:val="16"/>
              </w:rPr>
              <w:t xml:space="preserve">Суд ЕС, 18.06.2002, дело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-299/99, </w:t>
            </w:r>
            <w:proofErr w:type="spellStart"/>
            <w:r w:rsidRPr="00CC5D02">
              <w:rPr>
                <w:rFonts w:ascii="Times New Roman" w:hAnsi="Times New Roman" w:cs="Times New Roman"/>
                <w:i/>
                <w:sz w:val="16"/>
                <w:szCs w:val="16"/>
                <w:lang w:val="en-US"/>
              </w:rPr>
              <w:t>Koninklijke</w:t>
            </w:r>
            <w:proofErr w:type="spellEnd"/>
            <w:r w:rsidRPr="00CC5D02">
              <w:rPr>
                <w:rFonts w:ascii="Times New Roman" w:hAnsi="Times New Roman" w:cs="Times New Roman"/>
                <w:i/>
                <w:sz w:val="16"/>
                <w:szCs w:val="16"/>
                <w:lang w:val="en-US"/>
              </w:rPr>
              <w:t> Philips</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Electronics</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NV</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Remington</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Consumer</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Products</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Ltd</w:t>
            </w:r>
            <w:r w:rsidRPr="00CC5D02">
              <w:rPr>
                <w:rFonts w:ascii="Times New Roman" w:hAnsi="Times New Roman" w:cs="Times New Roman"/>
                <w:i/>
                <w:sz w:val="16"/>
                <w:szCs w:val="16"/>
              </w:rPr>
              <w:t>., §</w:t>
            </w:r>
            <w:r w:rsidRPr="00CC5D02">
              <w:rPr>
                <w:rFonts w:ascii="Times New Roman" w:hAnsi="Times New Roman" w:cs="Times New Roman"/>
                <w:i/>
                <w:sz w:val="16"/>
                <w:szCs w:val="16"/>
                <w:lang w:val="fr-FR"/>
              </w:rPr>
              <w:t> </w:t>
            </w:r>
            <w:r w:rsidRPr="00CC5D02">
              <w:rPr>
                <w:rFonts w:ascii="Times New Roman" w:hAnsi="Times New Roman" w:cs="Times New Roman"/>
                <w:i/>
                <w:sz w:val="16"/>
                <w:szCs w:val="16"/>
              </w:rPr>
              <w:t xml:space="preserve">79, Суд ЕС, 14.09.2010, дело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noBreakHyphen/>
              <w:t>48/09</w:t>
            </w:r>
            <w:r w:rsidRPr="00CC5D02">
              <w:rPr>
                <w:rFonts w:ascii="Times New Roman" w:hAnsi="Times New Roman" w:cs="Times New Roman"/>
                <w:i/>
                <w:sz w:val="16"/>
                <w:szCs w:val="16"/>
                <w:lang w:val="en-US"/>
              </w:rPr>
              <w:t> P</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Lego</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Juris</w:t>
            </w:r>
            <w:r w:rsidRPr="00CC5D02">
              <w:rPr>
                <w:rFonts w:ascii="Times New Roman" w:hAnsi="Times New Roman" w:cs="Times New Roman"/>
                <w:i/>
                <w:sz w:val="16"/>
                <w:szCs w:val="16"/>
              </w:rPr>
              <w:t>/</w:t>
            </w:r>
            <w:r w:rsidRPr="00CC5D02">
              <w:rPr>
                <w:rFonts w:ascii="Times New Roman" w:hAnsi="Times New Roman" w:cs="Times New Roman"/>
                <w:i/>
                <w:sz w:val="16"/>
                <w:szCs w:val="16"/>
                <w:lang w:val="en-US"/>
              </w:rPr>
              <w:t>OHMI</w:t>
            </w:r>
            <w:r w:rsidRPr="00CC5D02">
              <w:rPr>
                <w:rFonts w:ascii="Times New Roman" w:hAnsi="Times New Roman" w:cs="Times New Roman"/>
                <w:i/>
                <w:sz w:val="16"/>
                <w:szCs w:val="16"/>
              </w:rPr>
              <w:t>, §</w:t>
            </w:r>
            <w:r w:rsidRPr="00CC5D02">
              <w:rPr>
                <w:rFonts w:ascii="Times New Roman" w:hAnsi="Times New Roman" w:cs="Times New Roman"/>
                <w:i/>
                <w:sz w:val="16"/>
                <w:szCs w:val="16"/>
                <w:lang w:val="fr-FR"/>
              </w:rPr>
              <w:t> </w:t>
            </w:r>
            <w:r w:rsidRPr="00CC5D02">
              <w:rPr>
                <w:rFonts w:ascii="Times New Roman" w:hAnsi="Times New Roman" w:cs="Times New Roman"/>
                <w:i/>
                <w:sz w:val="16"/>
                <w:szCs w:val="16"/>
              </w:rPr>
              <w:t>52</w:t>
            </w:r>
            <w:r w:rsidRPr="00CC5D02">
              <w:rPr>
                <w:rFonts w:ascii="Times New Roman" w:hAnsi="Times New Roman" w:cs="Times New Roman"/>
                <w:sz w:val="16"/>
                <w:szCs w:val="16"/>
              </w:rPr>
              <w:t>). Если форма товара содержит важный нефункциональный элемент (декоративный, фантазийный) – обозначение может охраняться (</w:t>
            </w:r>
            <w:r w:rsidRPr="00CC5D02">
              <w:rPr>
                <w:rFonts w:ascii="Times New Roman" w:hAnsi="Times New Roman" w:cs="Times New Roman"/>
                <w:i/>
                <w:sz w:val="16"/>
                <w:szCs w:val="16"/>
                <w:lang w:val="en-US"/>
              </w:rPr>
              <w:t>Lego</w:t>
            </w:r>
            <w:r w:rsidRPr="00CC5D02">
              <w:rPr>
                <w:rFonts w:ascii="Times New Roman" w:hAnsi="Times New Roman" w:cs="Times New Roman"/>
                <w:sz w:val="16"/>
                <w:szCs w:val="16"/>
              </w:rPr>
              <w:t xml:space="preserve"> </w:t>
            </w:r>
            <w:r w:rsidRPr="00CC5D02">
              <w:rPr>
                <w:rFonts w:ascii="Times New Roman" w:hAnsi="Times New Roman" w:cs="Times New Roman"/>
                <w:i/>
                <w:sz w:val="16"/>
                <w:szCs w:val="16"/>
                <w:lang w:val="en-US"/>
              </w:rPr>
              <w:t>Juris</w:t>
            </w:r>
            <w:r w:rsidRPr="00CC5D02">
              <w:rPr>
                <w:rFonts w:ascii="Times New Roman" w:hAnsi="Times New Roman" w:cs="Times New Roman"/>
                <w:i/>
                <w:sz w:val="16"/>
                <w:szCs w:val="16"/>
              </w:rPr>
              <w:t>,</w:t>
            </w:r>
            <w:r w:rsidRPr="00CC5D02">
              <w:rPr>
                <w:rFonts w:ascii="Times New Roman" w:hAnsi="Times New Roman" w:cs="Times New Roman"/>
                <w:sz w:val="16"/>
                <w:szCs w:val="16"/>
              </w:rPr>
              <w:t xml:space="preserve"> §</w:t>
            </w:r>
            <w:r w:rsidRPr="00CC5D02">
              <w:rPr>
                <w:rFonts w:ascii="Times New Roman" w:hAnsi="Times New Roman" w:cs="Times New Roman"/>
                <w:sz w:val="16"/>
                <w:szCs w:val="16"/>
                <w:lang w:val="fr-FR"/>
              </w:rPr>
              <w:t> </w:t>
            </w:r>
            <w:r w:rsidRPr="00CC5D02">
              <w:rPr>
                <w:rFonts w:ascii="Times New Roman" w:hAnsi="Times New Roman" w:cs="Times New Roman"/>
                <w:sz w:val="16"/>
                <w:szCs w:val="16"/>
              </w:rPr>
              <w:t xml:space="preserve">52 – это дополнение было дано до определения формы в деле </w:t>
            </w:r>
            <w:proofErr w:type="spellStart"/>
            <w:r w:rsidRPr="00CC5D02">
              <w:rPr>
                <w:rFonts w:ascii="Times New Roman" w:hAnsi="Times New Roman" w:cs="Times New Roman"/>
                <w:sz w:val="16"/>
                <w:szCs w:val="16"/>
              </w:rPr>
              <w:t>Лубутен</w:t>
            </w:r>
            <w:proofErr w:type="spellEnd"/>
            <w:r w:rsidRPr="00CC5D02">
              <w:rPr>
                <w:rFonts w:ascii="Times New Roman" w:hAnsi="Times New Roman" w:cs="Times New Roman"/>
                <w:sz w:val="16"/>
                <w:szCs w:val="16"/>
              </w:rPr>
              <w:t>, но они друг другу не противоречат).</w:t>
            </w:r>
          </w:p>
          <w:p w:rsidR="00CC5D02" w:rsidRPr="00CC5D02" w:rsidRDefault="00CC5D02" w:rsidP="00A854BE">
            <w:pPr>
              <w:contextualSpacing/>
              <w:jc w:val="both"/>
              <w:rPr>
                <w:rFonts w:ascii="Times New Roman" w:hAnsi="Times New Roman" w:cs="Times New Roman"/>
                <w:sz w:val="16"/>
                <w:szCs w:val="16"/>
              </w:rPr>
            </w:pPr>
          </w:p>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 xml:space="preserve">Форма упаковки учитывается только, если товар, указанный в заявке, не имеет собственной формы (аморфный, льющийся, </w:t>
            </w:r>
            <w:r w:rsidRPr="00CC5D02">
              <w:rPr>
                <w:rFonts w:ascii="Times New Roman" w:hAnsi="Times New Roman" w:cs="Times New Roman"/>
                <w:sz w:val="16"/>
                <w:szCs w:val="16"/>
              </w:rPr>
              <w:lastRenderedPageBreak/>
              <w:t>сыплющийся) (</w:t>
            </w:r>
            <w:r w:rsidRPr="00CC5D02">
              <w:rPr>
                <w:rFonts w:ascii="Times New Roman" w:hAnsi="Times New Roman" w:cs="Times New Roman"/>
                <w:i/>
                <w:sz w:val="16"/>
                <w:szCs w:val="16"/>
              </w:rPr>
              <w:t xml:space="preserve">Суд ЕС, 14.09.2010, дело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noBreakHyphen/>
              <w:t>48/09</w:t>
            </w:r>
            <w:r w:rsidRPr="00CC5D02">
              <w:rPr>
                <w:rFonts w:ascii="Times New Roman" w:hAnsi="Times New Roman" w:cs="Times New Roman"/>
                <w:i/>
                <w:sz w:val="16"/>
                <w:szCs w:val="16"/>
                <w:lang w:val="en-US"/>
              </w:rPr>
              <w:t> P</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Lego</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Juris</w:t>
            </w:r>
            <w:r w:rsidRPr="00CC5D02">
              <w:rPr>
                <w:rFonts w:ascii="Times New Roman" w:hAnsi="Times New Roman" w:cs="Times New Roman"/>
                <w:i/>
                <w:sz w:val="16"/>
                <w:szCs w:val="16"/>
              </w:rPr>
              <w:t>/</w:t>
            </w:r>
            <w:r w:rsidRPr="00CC5D02">
              <w:rPr>
                <w:rFonts w:ascii="Times New Roman" w:hAnsi="Times New Roman" w:cs="Times New Roman"/>
                <w:i/>
                <w:sz w:val="16"/>
                <w:szCs w:val="16"/>
                <w:lang w:val="en-US"/>
              </w:rPr>
              <w:t>OHMI</w:t>
            </w:r>
            <w:r w:rsidRPr="00CC5D02">
              <w:rPr>
                <w:rFonts w:ascii="Times New Roman" w:hAnsi="Times New Roman" w:cs="Times New Roman"/>
                <w:i/>
                <w:sz w:val="16"/>
                <w:szCs w:val="16"/>
              </w:rPr>
              <w:t>., §</w:t>
            </w:r>
            <w:r w:rsidRPr="00CC5D02">
              <w:rPr>
                <w:rFonts w:ascii="Times New Roman" w:hAnsi="Times New Roman" w:cs="Times New Roman"/>
                <w:i/>
                <w:sz w:val="16"/>
                <w:szCs w:val="16"/>
                <w:lang w:val="fr-FR"/>
              </w:rPr>
              <w:t> </w:t>
            </w:r>
            <w:r w:rsidRPr="00CC5D02">
              <w:rPr>
                <w:rFonts w:ascii="Times New Roman" w:hAnsi="Times New Roman" w:cs="Times New Roman"/>
                <w:i/>
                <w:sz w:val="16"/>
                <w:szCs w:val="16"/>
              </w:rPr>
              <w:t>31–37</w:t>
            </w:r>
            <w:r w:rsidRPr="00CC5D02">
              <w:rPr>
                <w:rFonts w:ascii="Times New Roman" w:hAnsi="Times New Roman" w:cs="Times New Roman"/>
                <w:sz w:val="16"/>
                <w:szCs w:val="16"/>
              </w:rPr>
              <w:t>). Если форма заявлена для упаковки, исключение применяется в полной мере</w:t>
            </w:r>
          </w:p>
          <w:p w:rsidR="00CC5D02" w:rsidRPr="00CC5D02" w:rsidRDefault="00CC5D02" w:rsidP="00CC5D02">
            <w:pPr>
              <w:contextualSpacing/>
              <w:rPr>
                <w:rFonts w:ascii="Times New Roman" w:hAnsi="Times New Roman" w:cs="Times New Roman"/>
                <w:sz w:val="16"/>
                <w:szCs w:val="16"/>
              </w:rPr>
            </w:pPr>
          </w:p>
        </w:tc>
        <w:tc>
          <w:tcPr>
            <w:tcW w:w="4961" w:type="dxa"/>
          </w:tcPr>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lastRenderedPageBreak/>
              <w:t>Эти исключения также называются «предварительными», т.к. обычно оцениваются до различительной способности (указано в деле Филипс). Однако, есть исключения, в которых отказ на этих основаниях был сделан после определения РС (</w:t>
            </w:r>
            <w:r w:rsidRPr="00CC5D02">
              <w:rPr>
                <w:rFonts w:ascii="Times New Roman" w:hAnsi="Times New Roman" w:cs="Times New Roman"/>
                <w:i/>
                <w:sz w:val="16"/>
                <w:szCs w:val="16"/>
              </w:rPr>
              <w:t xml:space="preserve">Суд общей юрисдикции, 6.10.2011, дело Т-508/08, </w:t>
            </w:r>
            <w:r w:rsidRPr="00CC5D02">
              <w:rPr>
                <w:rFonts w:ascii="Times New Roman" w:hAnsi="Times New Roman" w:cs="Times New Roman"/>
                <w:i/>
                <w:sz w:val="16"/>
                <w:szCs w:val="16"/>
                <w:lang w:val="en-US"/>
              </w:rPr>
              <w:t>Bang</w:t>
            </w:r>
            <w:r w:rsidRPr="00CC5D02">
              <w:rPr>
                <w:rFonts w:ascii="Times New Roman" w:hAnsi="Times New Roman" w:cs="Times New Roman"/>
                <w:i/>
                <w:sz w:val="16"/>
                <w:szCs w:val="16"/>
              </w:rPr>
              <w:t xml:space="preserve"> &amp; </w:t>
            </w:r>
            <w:r w:rsidRPr="00CC5D02">
              <w:rPr>
                <w:rFonts w:ascii="Times New Roman" w:hAnsi="Times New Roman" w:cs="Times New Roman"/>
                <w:i/>
                <w:sz w:val="16"/>
                <w:szCs w:val="16"/>
                <w:lang w:val="en-US"/>
              </w:rPr>
              <w:t>Olufsen</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A</w:t>
            </w:r>
            <w:r w:rsidRPr="00CC5D02">
              <w:rPr>
                <w:rFonts w:ascii="Times New Roman" w:hAnsi="Times New Roman" w:cs="Times New Roman"/>
                <w:i/>
                <w:sz w:val="16"/>
                <w:szCs w:val="16"/>
              </w:rPr>
              <w:t>/</w:t>
            </w:r>
            <w:r w:rsidRPr="00CC5D02">
              <w:rPr>
                <w:rFonts w:ascii="Times New Roman" w:hAnsi="Times New Roman" w:cs="Times New Roman"/>
                <w:i/>
                <w:sz w:val="16"/>
                <w:szCs w:val="16"/>
                <w:lang w:val="fr-FR"/>
              </w:rPr>
              <w:t>S</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fr-FR"/>
              </w:rPr>
              <w:t>c</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fr-FR"/>
              </w:rPr>
              <w:t>OHMI</w:t>
            </w:r>
            <w:r w:rsidRPr="00CC5D02">
              <w:rPr>
                <w:rFonts w:ascii="Times New Roman" w:hAnsi="Times New Roman" w:cs="Times New Roman"/>
                <w:sz w:val="16"/>
                <w:szCs w:val="16"/>
              </w:rPr>
              <w:t>).</w:t>
            </w:r>
          </w:p>
          <w:p w:rsidR="00CC5D02" w:rsidRPr="00CC5D02" w:rsidRDefault="00CC5D02" w:rsidP="00A854BE">
            <w:pPr>
              <w:contextualSpacing/>
              <w:jc w:val="both"/>
              <w:rPr>
                <w:rFonts w:ascii="Times New Roman" w:hAnsi="Times New Roman" w:cs="Times New Roman"/>
                <w:sz w:val="16"/>
                <w:szCs w:val="16"/>
              </w:rPr>
            </w:pPr>
          </w:p>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Эти исключения редко использовались и толковались в первые 20 лет существования системы.</w:t>
            </w:r>
          </w:p>
          <w:p w:rsidR="00CC5D02" w:rsidRPr="00CC5D02" w:rsidRDefault="00CC5D02" w:rsidP="00A854BE">
            <w:pPr>
              <w:contextualSpacing/>
              <w:jc w:val="both"/>
              <w:rPr>
                <w:rFonts w:ascii="Times New Roman" w:hAnsi="Times New Roman" w:cs="Times New Roman"/>
                <w:sz w:val="16"/>
                <w:szCs w:val="16"/>
              </w:rPr>
            </w:pPr>
          </w:p>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 xml:space="preserve">Ранее, до определения формы в деле </w:t>
            </w:r>
            <w:proofErr w:type="spellStart"/>
            <w:r w:rsidRPr="00CC5D02">
              <w:rPr>
                <w:rFonts w:ascii="Times New Roman" w:hAnsi="Times New Roman" w:cs="Times New Roman"/>
                <w:sz w:val="16"/>
                <w:szCs w:val="16"/>
              </w:rPr>
              <w:t>Лубутена</w:t>
            </w:r>
            <w:proofErr w:type="spellEnd"/>
            <w:r w:rsidRPr="00CC5D02">
              <w:rPr>
                <w:rFonts w:ascii="Times New Roman" w:hAnsi="Times New Roman" w:cs="Times New Roman"/>
                <w:sz w:val="16"/>
                <w:szCs w:val="16"/>
              </w:rPr>
              <w:t xml:space="preserve">, в деле </w:t>
            </w:r>
            <w:proofErr w:type="spellStart"/>
            <w:r w:rsidRPr="00CC5D02">
              <w:rPr>
                <w:rFonts w:ascii="Times New Roman" w:hAnsi="Times New Roman" w:cs="Times New Roman"/>
                <w:sz w:val="16"/>
                <w:szCs w:val="16"/>
              </w:rPr>
              <w:t>Бенеттон</w:t>
            </w:r>
            <w:proofErr w:type="spellEnd"/>
            <w:r w:rsidRPr="00CC5D02">
              <w:rPr>
                <w:rFonts w:ascii="Times New Roman" w:hAnsi="Times New Roman" w:cs="Times New Roman"/>
                <w:sz w:val="16"/>
                <w:szCs w:val="16"/>
              </w:rPr>
              <w:t xml:space="preserve"> Суд ЕС не стал различать форму товара (джинсами) и форму заявленного обозначения (декоративные прошивки на штанинах), хотя такая прошивка может считаться узором, а не формой товара (</w:t>
            </w:r>
            <w:r w:rsidRPr="00CC5D02">
              <w:rPr>
                <w:rFonts w:ascii="Times New Roman" w:hAnsi="Times New Roman" w:cs="Times New Roman"/>
                <w:i/>
                <w:sz w:val="16"/>
                <w:szCs w:val="16"/>
              </w:rPr>
              <w:t xml:space="preserve">Суд ЕС, 20.09.2007, дело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-371/06, </w:t>
            </w:r>
            <w:r w:rsidRPr="00CC5D02">
              <w:rPr>
                <w:rFonts w:ascii="Times New Roman" w:hAnsi="Times New Roman" w:cs="Times New Roman"/>
                <w:i/>
                <w:sz w:val="16"/>
                <w:szCs w:val="16"/>
                <w:lang w:val="en-US"/>
              </w:rPr>
              <w:t>Benetton</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Group</w:t>
            </w:r>
            <w:r w:rsidRPr="00CC5D02">
              <w:rPr>
                <w:rFonts w:ascii="Times New Roman" w:hAnsi="Times New Roman" w:cs="Times New Roman"/>
                <w:i/>
                <w:sz w:val="16"/>
                <w:szCs w:val="16"/>
              </w:rPr>
              <w:t xml:space="preserve"> </w:t>
            </w:r>
            <w:proofErr w:type="spellStart"/>
            <w:r w:rsidRPr="00CC5D02">
              <w:rPr>
                <w:rFonts w:ascii="Times New Roman" w:hAnsi="Times New Roman" w:cs="Times New Roman"/>
                <w:i/>
                <w:sz w:val="16"/>
                <w:szCs w:val="16"/>
                <w:lang w:val="en-US"/>
              </w:rPr>
              <w:t>SpA</w:t>
            </w:r>
            <w:proofErr w:type="spellEnd"/>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c</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G</w:t>
            </w:r>
            <w:r w:rsidRPr="00CC5D02">
              <w:rPr>
                <w:rFonts w:ascii="Times New Roman" w:hAnsi="Times New Roman" w:cs="Times New Roman"/>
                <w:i/>
                <w:sz w:val="16"/>
                <w:szCs w:val="16"/>
              </w:rPr>
              <w:t>-</w:t>
            </w:r>
            <w:r w:rsidRPr="00CC5D02">
              <w:rPr>
                <w:rFonts w:ascii="Times New Roman" w:hAnsi="Times New Roman" w:cs="Times New Roman"/>
                <w:i/>
                <w:sz w:val="16"/>
                <w:szCs w:val="16"/>
                <w:lang w:val="en-US"/>
              </w:rPr>
              <w:t>Star</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International</w:t>
            </w:r>
            <w:r w:rsidRPr="00CC5D02">
              <w:rPr>
                <w:rFonts w:ascii="Times New Roman" w:hAnsi="Times New Roman" w:cs="Times New Roman"/>
                <w:i/>
                <w:sz w:val="16"/>
                <w:szCs w:val="16"/>
              </w:rPr>
              <w:t xml:space="preserve"> </w:t>
            </w:r>
            <w:r w:rsidRPr="00CC5D02">
              <w:rPr>
                <w:rFonts w:ascii="Times New Roman" w:hAnsi="Times New Roman" w:cs="Times New Roman"/>
                <w:i/>
                <w:sz w:val="16"/>
                <w:szCs w:val="16"/>
                <w:lang w:val="en-US"/>
              </w:rPr>
              <w:t>BV</w:t>
            </w:r>
            <w:r w:rsidRPr="00CC5D02">
              <w:rPr>
                <w:rFonts w:ascii="Times New Roman" w:hAnsi="Times New Roman" w:cs="Times New Roman"/>
                <w:i/>
                <w:sz w:val="16"/>
                <w:szCs w:val="16"/>
              </w:rPr>
              <w:t>.</w:t>
            </w:r>
            <w:r w:rsidRPr="00CC5D02">
              <w:rPr>
                <w:rFonts w:ascii="Times New Roman" w:hAnsi="Times New Roman" w:cs="Times New Roman"/>
                <w:sz w:val="16"/>
                <w:szCs w:val="16"/>
              </w:rPr>
              <w:t>)</w:t>
            </w:r>
          </w:p>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 xml:space="preserve"> </w:t>
            </w:r>
          </w:p>
        </w:tc>
      </w:tr>
      <w:tr w:rsidR="00CC5D02" w:rsidRPr="00CC5D02" w:rsidTr="002B216F">
        <w:tc>
          <w:tcPr>
            <w:tcW w:w="1668" w:type="dxa"/>
            <w:vMerge/>
          </w:tcPr>
          <w:p w:rsidR="00CC5D02" w:rsidRPr="00CC5D02" w:rsidRDefault="00CC5D02" w:rsidP="00CC5D02">
            <w:pPr>
              <w:contextualSpacing/>
              <w:rPr>
                <w:rFonts w:ascii="Times New Roman" w:hAnsi="Times New Roman" w:cs="Times New Roman"/>
                <w:sz w:val="16"/>
                <w:szCs w:val="16"/>
              </w:rPr>
            </w:pPr>
          </w:p>
        </w:tc>
        <w:tc>
          <w:tcPr>
            <w:tcW w:w="1842" w:type="dxa"/>
          </w:tcPr>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После реформы:</w:t>
            </w:r>
          </w:p>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Ст. 4.1.е) Директивы 2015/2436, Ст. 7.1.е) Регламента</w:t>
            </w:r>
            <w:r w:rsidR="00A854BE">
              <w:rPr>
                <w:rFonts w:ascii="Times New Roman" w:hAnsi="Times New Roman" w:cs="Times New Roman"/>
                <w:sz w:val="16"/>
                <w:szCs w:val="16"/>
              </w:rPr>
              <w:t xml:space="preserve"> ЕС</w:t>
            </w:r>
            <w:r w:rsidRPr="00CC5D02">
              <w:rPr>
                <w:rFonts w:ascii="Times New Roman" w:hAnsi="Times New Roman" w:cs="Times New Roman"/>
                <w:sz w:val="16"/>
                <w:szCs w:val="16"/>
              </w:rPr>
              <w:t xml:space="preserve"> 2017/1001</w:t>
            </w:r>
          </w:p>
        </w:tc>
        <w:tc>
          <w:tcPr>
            <w:tcW w:w="1843" w:type="dxa"/>
          </w:tcPr>
          <w:p w:rsidR="00CC5D02" w:rsidRPr="00CC5D02"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Форма, или иная характеристика</w:t>
            </w:r>
          </w:p>
        </w:tc>
        <w:tc>
          <w:tcPr>
            <w:tcW w:w="4536" w:type="dxa"/>
          </w:tcPr>
          <w:p w:rsidR="00CC5D02" w:rsidRPr="00CC5D02" w:rsidRDefault="00CC5D02" w:rsidP="00CC5D02">
            <w:pPr>
              <w:contextualSpacing/>
              <w:rPr>
                <w:rFonts w:ascii="Times New Roman" w:hAnsi="Times New Roman" w:cs="Times New Roman"/>
                <w:sz w:val="16"/>
                <w:szCs w:val="16"/>
                <w:lang w:val="en-US"/>
              </w:rPr>
            </w:pPr>
            <w:r w:rsidRPr="00CC5D02">
              <w:rPr>
                <w:rFonts w:ascii="Times New Roman" w:hAnsi="Times New Roman" w:cs="Times New Roman"/>
                <w:sz w:val="16"/>
                <w:szCs w:val="16"/>
              </w:rPr>
              <w:t>См. выше + «иная характеристика»</w:t>
            </w:r>
          </w:p>
        </w:tc>
        <w:tc>
          <w:tcPr>
            <w:tcW w:w="4961" w:type="dxa"/>
          </w:tcPr>
          <w:p w:rsidR="00CC5D02" w:rsidRPr="00CC5D02" w:rsidRDefault="00CC5D02" w:rsidP="00CC5D02">
            <w:pPr>
              <w:contextualSpacing/>
              <w:rPr>
                <w:rFonts w:ascii="Times New Roman" w:hAnsi="Times New Roman" w:cs="Times New Roman"/>
                <w:sz w:val="16"/>
                <w:szCs w:val="16"/>
              </w:rPr>
            </w:pPr>
          </w:p>
        </w:tc>
      </w:tr>
      <w:tr w:rsidR="00CC5D02" w:rsidRPr="00CC5D02" w:rsidTr="002B216F">
        <w:tc>
          <w:tcPr>
            <w:tcW w:w="1668" w:type="dxa"/>
          </w:tcPr>
          <w:p w:rsidR="00CC5D02" w:rsidRPr="00CC5D02" w:rsidRDefault="00CC5D02" w:rsidP="00CC5D02">
            <w:pPr>
              <w:contextualSpacing/>
              <w:jc w:val="both"/>
              <w:rPr>
                <w:rFonts w:ascii="Times New Roman" w:hAnsi="Times New Roman" w:cs="Times New Roman"/>
                <w:sz w:val="16"/>
                <w:szCs w:val="16"/>
              </w:rPr>
            </w:pPr>
            <w:r w:rsidRPr="00CC5D02">
              <w:rPr>
                <w:rFonts w:ascii="Times New Roman" w:hAnsi="Times New Roman" w:cs="Times New Roman"/>
                <w:b/>
                <w:sz w:val="16"/>
                <w:szCs w:val="16"/>
              </w:rPr>
              <w:t xml:space="preserve">Использование </w:t>
            </w:r>
            <w:r w:rsidRPr="00CC5D02">
              <w:rPr>
                <w:rFonts w:ascii="Times New Roman" w:hAnsi="Times New Roman" w:cs="Times New Roman"/>
                <w:sz w:val="16"/>
                <w:szCs w:val="16"/>
              </w:rPr>
              <w:t xml:space="preserve">ТЗ </w:t>
            </w:r>
          </w:p>
        </w:tc>
        <w:tc>
          <w:tcPr>
            <w:tcW w:w="1842" w:type="dxa"/>
          </w:tcPr>
          <w:p w:rsidR="00CC5D02" w:rsidRPr="00A854BE"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Ст. 16 Директивы</w:t>
            </w:r>
            <w:r w:rsidRPr="00A854BE">
              <w:rPr>
                <w:rFonts w:ascii="Times New Roman" w:hAnsi="Times New Roman" w:cs="Times New Roman"/>
                <w:sz w:val="16"/>
                <w:szCs w:val="16"/>
              </w:rPr>
              <w:t xml:space="preserve"> </w:t>
            </w:r>
            <w:r w:rsidRPr="00CC5D02">
              <w:rPr>
                <w:rFonts w:ascii="Times New Roman" w:hAnsi="Times New Roman" w:cs="Times New Roman"/>
                <w:sz w:val="16"/>
                <w:szCs w:val="16"/>
              </w:rPr>
              <w:t>2015/24</w:t>
            </w:r>
            <w:r w:rsidRPr="00A854BE">
              <w:rPr>
                <w:rFonts w:ascii="Times New Roman" w:hAnsi="Times New Roman" w:cs="Times New Roman"/>
                <w:sz w:val="16"/>
                <w:szCs w:val="16"/>
              </w:rPr>
              <w:t>36</w:t>
            </w:r>
          </w:p>
          <w:p w:rsidR="00CC5D02" w:rsidRPr="00A854BE" w:rsidRDefault="00CC5D02" w:rsidP="00CC5D02">
            <w:pPr>
              <w:contextualSpacing/>
              <w:rPr>
                <w:rFonts w:ascii="Times New Roman" w:hAnsi="Times New Roman" w:cs="Times New Roman"/>
                <w:sz w:val="16"/>
                <w:szCs w:val="16"/>
              </w:rPr>
            </w:pPr>
            <w:r w:rsidRPr="00CC5D02">
              <w:rPr>
                <w:rFonts w:ascii="Times New Roman" w:hAnsi="Times New Roman" w:cs="Times New Roman"/>
                <w:sz w:val="16"/>
                <w:szCs w:val="16"/>
              </w:rPr>
              <w:t xml:space="preserve">Ст. 18 Регламента </w:t>
            </w:r>
            <w:r w:rsidR="00A854BE">
              <w:rPr>
                <w:rFonts w:ascii="Times New Roman" w:hAnsi="Times New Roman" w:cs="Times New Roman"/>
                <w:sz w:val="16"/>
                <w:szCs w:val="16"/>
              </w:rPr>
              <w:t xml:space="preserve">ЕС </w:t>
            </w:r>
            <w:r w:rsidRPr="00A854BE">
              <w:rPr>
                <w:rFonts w:ascii="Times New Roman" w:hAnsi="Times New Roman" w:cs="Times New Roman"/>
                <w:sz w:val="16"/>
                <w:szCs w:val="16"/>
              </w:rPr>
              <w:t>2017/1001</w:t>
            </w:r>
          </w:p>
        </w:tc>
        <w:tc>
          <w:tcPr>
            <w:tcW w:w="1843" w:type="dxa"/>
          </w:tcPr>
          <w:p w:rsidR="00CC5D02" w:rsidRPr="00CC5D02" w:rsidRDefault="00CC5D02" w:rsidP="00CC5D02">
            <w:pPr>
              <w:contextualSpacing/>
              <w:rPr>
                <w:rFonts w:ascii="Times New Roman" w:hAnsi="Times New Roman" w:cs="Times New Roman"/>
                <w:sz w:val="16"/>
                <w:szCs w:val="16"/>
              </w:rPr>
            </w:pPr>
          </w:p>
        </w:tc>
        <w:tc>
          <w:tcPr>
            <w:tcW w:w="4536" w:type="dxa"/>
          </w:tcPr>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«В форме (виде), отличающейся от зарегистрированного товарного знака некоторыми характеристиками, не меняющими его различительную способность»</w:t>
            </w:r>
          </w:p>
        </w:tc>
        <w:tc>
          <w:tcPr>
            <w:tcW w:w="4961" w:type="dxa"/>
          </w:tcPr>
          <w:p w:rsidR="00CC5D02" w:rsidRPr="00CC5D02" w:rsidRDefault="00CC5D02" w:rsidP="00A854BE">
            <w:pPr>
              <w:contextualSpacing/>
              <w:jc w:val="both"/>
              <w:rPr>
                <w:rFonts w:ascii="Times New Roman" w:hAnsi="Times New Roman" w:cs="Times New Roman"/>
                <w:sz w:val="16"/>
                <w:szCs w:val="16"/>
              </w:rPr>
            </w:pPr>
            <w:r w:rsidRPr="00CC5D02">
              <w:rPr>
                <w:rFonts w:ascii="Times New Roman" w:hAnsi="Times New Roman" w:cs="Times New Roman"/>
                <w:sz w:val="16"/>
                <w:szCs w:val="16"/>
              </w:rPr>
              <w:t>Не рассматриваем понятие формы в этой справке (в ГК РФ используется другая формулировка с ГК РФ, другая правовая ситуация)</w:t>
            </w:r>
          </w:p>
        </w:tc>
      </w:tr>
    </w:tbl>
    <w:p w:rsidR="00CC5D02" w:rsidRPr="00CC5D02" w:rsidRDefault="00CC5D02" w:rsidP="00CC5D02">
      <w:pPr>
        <w:spacing w:after="0" w:line="240" w:lineRule="auto"/>
        <w:contextualSpacing/>
        <w:jc w:val="both"/>
        <w:rPr>
          <w:rFonts w:ascii="Times New Roman" w:hAnsi="Times New Roman" w:cs="Times New Roman"/>
          <w:sz w:val="16"/>
          <w:szCs w:val="16"/>
        </w:rPr>
      </w:pPr>
    </w:p>
    <w:sectPr w:rsidR="00CC5D02" w:rsidRPr="00CC5D02" w:rsidSect="00CC5D02">
      <w:headerReference w:type="even" r:id="rId23"/>
      <w:headerReference w:type="default" r:id="rId24"/>
      <w:footerReference w:type="even" r:id="rId25"/>
      <w:footerReference w:type="default" r:id="rId26"/>
      <w:headerReference w:type="first" r:id="rId27"/>
      <w:footerReference w:type="first" r:id="rId2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BA5" w:rsidRDefault="00C02BA5" w:rsidP="00155011">
      <w:pPr>
        <w:spacing w:after="0" w:line="240" w:lineRule="auto"/>
      </w:pPr>
      <w:r>
        <w:separator/>
      </w:r>
    </w:p>
  </w:endnote>
  <w:endnote w:type="continuationSeparator" w:id="0">
    <w:p w:rsidR="00C02BA5" w:rsidRDefault="00C02BA5" w:rsidP="00155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B7" w:rsidRDefault="002C10B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6F" w:rsidRDefault="002B216F">
    <w:pPr>
      <w:pStyle w:val="a5"/>
      <w:jc w:val="right"/>
    </w:pPr>
  </w:p>
  <w:p w:rsidR="002B216F" w:rsidRDefault="002B216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B7" w:rsidRDefault="002C10B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6F" w:rsidRDefault="002B216F">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6F" w:rsidRDefault="002B216F">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6F" w:rsidRDefault="002B21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BA5" w:rsidRDefault="00C02BA5" w:rsidP="00155011">
      <w:pPr>
        <w:spacing w:after="0" w:line="240" w:lineRule="auto"/>
      </w:pPr>
      <w:r>
        <w:separator/>
      </w:r>
    </w:p>
  </w:footnote>
  <w:footnote w:type="continuationSeparator" w:id="0">
    <w:p w:rsidR="00C02BA5" w:rsidRDefault="00C02BA5" w:rsidP="00155011">
      <w:pPr>
        <w:spacing w:after="0" w:line="240" w:lineRule="auto"/>
      </w:pPr>
      <w:r>
        <w:continuationSeparator/>
      </w:r>
    </w:p>
  </w:footnote>
  <w:footnote w:id="1">
    <w:p w:rsidR="002B216F" w:rsidRPr="002B216F" w:rsidRDefault="002B216F" w:rsidP="002B216F">
      <w:pPr>
        <w:spacing w:after="0"/>
        <w:jc w:val="both"/>
        <w:rPr>
          <w:rFonts w:ascii="Times New Roman" w:hAnsi="Times New Roman" w:cs="Times New Roman"/>
          <w:sz w:val="20"/>
          <w:szCs w:val="20"/>
        </w:rPr>
      </w:pPr>
      <w:r w:rsidRPr="002B216F">
        <w:rPr>
          <w:rStyle w:val="ac"/>
          <w:rFonts w:ascii="Times New Roman" w:hAnsi="Times New Roman" w:cs="Times New Roman"/>
          <w:sz w:val="20"/>
          <w:szCs w:val="20"/>
        </w:rPr>
        <w:footnoteRef/>
      </w:r>
      <w:r w:rsidRPr="002B216F">
        <w:rPr>
          <w:rFonts w:ascii="Times New Roman" w:hAnsi="Times New Roman" w:cs="Times New Roman"/>
          <w:sz w:val="20"/>
          <w:szCs w:val="20"/>
        </w:rPr>
        <w:t xml:space="preserve"> «К объемным обозначениям относятся трехмерные объекты, фигуры и комбинации линий и фигур в пространственном расположении, которые могут представлять собой форму товара или его части, форму упаковки товара, форму, не связанную с товаром» (пункт 32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утвержденных приказом Министерства экономического развития Российской Федерации от 20.07.2015 № 482, далее – Правила № 482).</w:t>
      </w:r>
    </w:p>
  </w:footnote>
  <w:footnote w:id="2">
    <w:p w:rsidR="002B216F" w:rsidRPr="002B216F" w:rsidRDefault="002B216F" w:rsidP="002B216F">
      <w:pPr>
        <w:spacing w:after="0"/>
        <w:jc w:val="both"/>
        <w:rPr>
          <w:rFonts w:ascii="Times New Roman" w:hAnsi="Times New Roman" w:cs="Times New Roman"/>
          <w:sz w:val="20"/>
          <w:szCs w:val="20"/>
        </w:rPr>
      </w:pPr>
      <w:r w:rsidRPr="002B216F">
        <w:rPr>
          <w:rStyle w:val="ac"/>
          <w:rFonts w:ascii="Times New Roman" w:hAnsi="Times New Roman" w:cs="Times New Roman"/>
          <w:sz w:val="20"/>
          <w:szCs w:val="20"/>
        </w:rPr>
        <w:footnoteRef/>
      </w:r>
      <w:r w:rsidRPr="002B216F">
        <w:rPr>
          <w:rFonts w:ascii="Times New Roman" w:hAnsi="Times New Roman" w:cs="Times New Roman"/>
          <w:sz w:val="20"/>
          <w:szCs w:val="20"/>
        </w:rPr>
        <w:t xml:space="preserve"> «К комбинированным обозначениям относятся комбинации элементов разного вида обозначений: изобразительных, словесных, объемных и других обозначений» (пункт 32 Правил № 482). Наибольшее количество обозначений, подаваемых на регистрацию в качестве товарных знаков, составляют словесные обозначения, комбинированные обозначения, а также изобразительные обозначения (пункт 1 главы 2 раздела </w:t>
      </w:r>
      <w:r w:rsidRPr="002B216F">
        <w:rPr>
          <w:rFonts w:ascii="Times New Roman" w:hAnsi="Times New Roman" w:cs="Times New Roman"/>
          <w:sz w:val="20"/>
          <w:szCs w:val="20"/>
          <w:lang w:val="en-US"/>
        </w:rPr>
        <w:t>IV</w:t>
      </w:r>
      <w:r w:rsidRPr="002B216F">
        <w:rPr>
          <w:rFonts w:ascii="Times New Roman" w:hAnsi="Times New Roman" w:cs="Times New Roman"/>
          <w:sz w:val="20"/>
          <w:szCs w:val="20"/>
        </w:rPr>
        <w:t xml:space="preserve"> Руководства по осуществлению административных процедур и действий в рамках предоставления государственной услуги по государственной регистрации товарного знака, знака обслуживания, коллективного знака и выдаче свидетельств на товарный знак, знак обслуживания, коллективный знак, их дубликатов, утвержденного приказом Федерального государственного бюджетного учреждения «Федеральный институт промышленной собственности» от 20.01.2020 № 12).</w:t>
      </w:r>
    </w:p>
  </w:footnote>
  <w:footnote w:id="3">
    <w:p w:rsidR="002B216F" w:rsidRPr="002B216F" w:rsidRDefault="002B216F" w:rsidP="002B216F">
      <w:pPr>
        <w:spacing w:after="0"/>
        <w:jc w:val="both"/>
        <w:rPr>
          <w:rFonts w:ascii="Times New Roman" w:hAnsi="Times New Roman" w:cs="Times New Roman"/>
          <w:sz w:val="20"/>
          <w:szCs w:val="20"/>
        </w:rPr>
      </w:pPr>
      <w:r w:rsidRPr="002B216F">
        <w:rPr>
          <w:rStyle w:val="ac"/>
          <w:rFonts w:ascii="Times New Roman" w:hAnsi="Times New Roman" w:cs="Times New Roman"/>
          <w:sz w:val="20"/>
          <w:szCs w:val="20"/>
        </w:rPr>
        <w:footnoteRef/>
      </w:r>
      <w:r w:rsidRPr="002B216F">
        <w:rPr>
          <w:rFonts w:ascii="Times New Roman" w:hAnsi="Times New Roman" w:cs="Times New Roman"/>
          <w:sz w:val="20"/>
          <w:szCs w:val="20"/>
        </w:rPr>
        <w:t xml:space="preserve"> «К изобразительным обозначениям относятся изображения на плоскости живых существ, предметов, природных и иных объектов, композиции линий, пятен, любых фигур» (пункт 32 Правил № 482).</w:t>
      </w:r>
    </w:p>
  </w:footnote>
  <w:footnote w:id="4">
    <w:p w:rsidR="002B216F" w:rsidRPr="002B216F" w:rsidRDefault="002B216F" w:rsidP="002B216F">
      <w:pPr>
        <w:pStyle w:val="aa"/>
        <w:spacing w:line="276" w:lineRule="auto"/>
        <w:rPr>
          <w:sz w:val="20"/>
        </w:rPr>
      </w:pPr>
      <w:r w:rsidRPr="002B216F">
        <w:rPr>
          <w:rStyle w:val="ac"/>
          <w:sz w:val="20"/>
        </w:rPr>
        <w:footnoteRef/>
      </w:r>
      <w:r w:rsidRPr="002B216F">
        <w:rPr>
          <w:sz w:val="20"/>
        </w:rPr>
        <w:t xml:space="preserve"> До 2015 года:</w:t>
      </w:r>
      <w:r w:rsidRPr="002B216F" w:rsidDel="00506771">
        <w:rPr>
          <w:sz w:val="20"/>
        </w:rPr>
        <w:t xml:space="preserve"> </w:t>
      </w:r>
      <w:r w:rsidRPr="002B216F">
        <w:rPr>
          <w:sz w:val="20"/>
        </w:rPr>
        <w:t>Правила составления, подачи и рассмотрения заявки на регистрацию товарного знака и знака обслуживания, утвержденные приказом Российского агентства по патентам и товарным знакам от 05.03.2003 № 32. После 2015 года: Правила № 482.</w:t>
      </w:r>
    </w:p>
  </w:footnote>
  <w:footnote w:id="5">
    <w:p w:rsidR="002B216F" w:rsidRPr="002B216F" w:rsidRDefault="002B216F" w:rsidP="002B216F">
      <w:pPr>
        <w:pStyle w:val="aa"/>
        <w:spacing w:line="276" w:lineRule="auto"/>
        <w:rPr>
          <w:sz w:val="20"/>
        </w:rPr>
      </w:pPr>
      <w:r w:rsidRPr="002B216F">
        <w:rPr>
          <w:rStyle w:val="ac"/>
          <w:sz w:val="20"/>
        </w:rPr>
        <w:footnoteRef/>
      </w:r>
      <w:r w:rsidRPr="002B216F">
        <w:rPr>
          <w:sz w:val="20"/>
        </w:rPr>
        <w:t xml:space="preserve"> Рекомендации по отдельным вопросам экспертизы заявленных обозначений, утвержденных приказом Российского агентства по патентам и товарным знакам от 23.03.2001 № 39.</w:t>
      </w:r>
    </w:p>
  </w:footnote>
  <w:footnote w:id="6">
    <w:p w:rsidR="002B216F" w:rsidRPr="002B216F" w:rsidRDefault="002B216F" w:rsidP="002B216F">
      <w:pPr>
        <w:pStyle w:val="aa"/>
        <w:spacing w:line="276" w:lineRule="auto"/>
        <w:rPr>
          <w:sz w:val="20"/>
        </w:rPr>
      </w:pPr>
      <w:r w:rsidRPr="002B216F">
        <w:rPr>
          <w:sz w:val="20"/>
          <w:vertAlign w:val="superscript"/>
        </w:rPr>
        <w:footnoteRef/>
      </w:r>
      <w:r w:rsidRPr="002B216F">
        <w:rPr>
          <w:sz w:val="20"/>
        </w:rPr>
        <w:t xml:space="preserve"> Примеры определений: «наружный вид, внешние очертания предмета» (</w:t>
      </w:r>
      <w:r w:rsidRPr="002B216F">
        <w:rPr>
          <w:i/>
          <w:sz w:val="20"/>
        </w:rPr>
        <w:t>Толковый словарь Ушакова</w:t>
      </w:r>
      <w:r w:rsidRPr="002B216F">
        <w:rPr>
          <w:sz w:val="20"/>
        </w:rPr>
        <w:t>, значение 1);  «фигура, наружный вид, (…)» (</w:t>
      </w:r>
      <w:r w:rsidRPr="002B216F">
        <w:rPr>
          <w:i/>
          <w:sz w:val="20"/>
        </w:rPr>
        <w:t>Толковый словарь Даля</w:t>
      </w:r>
      <w:r w:rsidRPr="002B216F">
        <w:rPr>
          <w:sz w:val="20"/>
        </w:rPr>
        <w:t>, значение 1); «внешнее очертание, наружный вид, контуры предмета» (</w:t>
      </w:r>
      <w:r w:rsidRPr="002B216F">
        <w:rPr>
          <w:i/>
          <w:sz w:val="20"/>
        </w:rPr>
        <w:t>Большой энциклопедический словарь</w:t>
      </w:r>
      <w:r w:rsidRPr="002B216F">
        <w:rPr>
          <w:sz w:val="20"/>
        </w:rPr>
        <w:t>, значение 1); «очертания, контуры, внешние границы предмета, определяющие его наружный вид, внешний облик» (</w:t>
      </w:r>
      <w:r w:rsidRPr="002B216F">
        <w:rPr>
          <w:i/>
          <w:sz w:val="20"/>
        </w:rPr>
        <w:t>Исторический словарь галлицизмов русского языка</w:t>
      </w:r>
      <w:r w:rsidRPr="002B216F">
        <w:rPr>
          <w:sz w:val="20"/>
        </w:rPr>
        <w:t>, значение 1). Такую форму можно обозначить как «внешний контур изделия».</w:t>
      </w:r>
    </w:p>
  </w:footnote>
  <w:footnote w:id="7">
    <w:p w:rsidR="002B216F" w:rsidRPr="002B216F" w:rsidRDefault="002B216F" w:rsidP="002B216F">
      <w:pPr>
        <w:pStyle w:val="aa"/>
        <w:rPr>
          <w:sz w:val="20"/>
        </w:rPr>
      </w:pPr>
      <w:r w:rsidRPr="002B216F">
        <w:rPr>
          <w:rStyle w:val="ac"/>
          <w:sz w:val="20"/>
        </w:rPr>
        <w:footnoteRef/>
      </w:r>
      <w:r w:rsidRPr="002B216F">
        <w:rPr>
          <w:sz w:val="20"/>
        </w:rPr>
        <w:t xml:space="preserve"> «Аналитический» подход основан на отдельном рассмотрении различных характеристик формы и может быть противопоставлен «синтетическому» подходу, в котором форма оценивается как единое целое.</w:t>
      </w:r>
    </w:p>
  </w:footnote>
  <w:footnote w:id="8">
    <w:p w:rsidR="002B216F" w:rsidRPr="002B216F" w:rsidRDefault="002B216F" w:rsidP="002B216F">
      <w:pPr>
        <w:pStyle w:val="aa"/>
        <w:spacing w:line="276" w:lineRule="auto"/>
        <w:rPr>
          <w:sz w:val="20"/>
        </w:rPr>
      </w:pPr>
      <w:r w:rsidRPr="002B216F">
        <w:rPr>
          <w:rStyle w:val="ac"/>
          <w:sz w:val="20"/>
        </w:rPr>
        <w:footnoteRef/>
      </w:r>
      <w:r w:rsidRPr="002B216F">
        <w:rPr>
          <w:sz w:val="20"/>
          <w:lang w:val="fr-FR"/>
        </w:rPr>
        <w:t xml:space="preserve"> «Préface », Classification internationale des éléments figuratifs des marques, établie en vertu de l’Arragnement de Vienne, 8</w:t>
      </w:r>
      <w:r w:rsidRPr="002B216F">
        <w:rPr>
          <w:sz w:val="20"/>
          <w:vertAlign w:val="superscript"/>
          <w:lang w:val="fr-FR"/>
        </w:rPr>
        <w:t>e</w:t>
      </w:r>
      <w:r w:rsidRPr="002B216F">
        <w:rPr>
          <w:sz w:val="20"/>
          <w:lang w:val="fr-FR"/>
        </w:rPr>
        <w:t xml:space="preserve"> éd., 2017. </w:t>
      </w:r>
      <w:r w:rsidRPr="002B216F">
        <w:rPr>
          <w:sz w:val="20"/>
        </w:rPr>
        <w:t xml:space="preserve">Перевод на русский язык дан на сайте ВОИС: </w:t>
      </w:r>
      <w:r w:rsidRPr="002B216F">
        <w:rPr>
          <w:sz w:val="20"/>
          <w:lang w:val="fr-FR"/>
        </w:rPr>
        <w:t>https</w:t>
      </w:r>
      <w:r w:rsidRPr="002B216F">
        <w:rPr>
          <w:sz w:val="20"/>
        </w:rPr>
        <w:t>://</w:t>
      </w:r>
      <w:r w:rsidRPr="002B216F">
        <w:rPr>
          <w:sz w:val="20"/>
          <w:lang w:val="fr-FR"/>
        </w:rPr>
        <w:t>www</w:t>
      </w:r>
      <w:r w:rsidRPr="002B216F">
        <w:rPr>
          <w:sz w:val="20"/>
        </w:rPr>
        <w:t>.</w:t>
      </w:r>
      <w:r w:rsidRPr="002B216F">
        <w:rPr>
          <w:sz w:val="20"/>
          <w:lang w:val="fr-FR"/>
        </w:rPr>
        <w:t>wipo</w:t>
      </w:r>
      <w:r w:rsidRPr="002B216F">
        <w:rPr>
          <w:sz w:val="20"/>
        </w:rPr>
        <w:t>.</w:t>
      </w:r>
      <w:r w:rsidRPr="002B216F">
        <w:rPr>
          <w:sz w:val="20"/>
          <w:lang w:val="fr-FR"/>
        </w:rPr>
        <w:t>int</w:t>
      </w:r>
      <w:r w:rsidRPr="002B216F">
        <w:rPr>
          <w:sz w:val="20"/>
        </w:rPr>
        <w:t>/</w:t>
      </w:r>
      <w:r w:rsidRPr="002B216F">
        <w:rPr>
          <w:sz w:val="20"/>
          <w:lang w:val="fr-FR"/>
        </w:rPr>
        <w:t>classifications</w:t>
      </w:r>
      <w:r w:rsidRPr="002B216F">
        <w:rPr>
          <w:sz w:val="20"/>
        </w:rPr>
        <w:t>/</w:t>
      </w:r>
      <w:r w:rsidRPr="002B216F">
        <w:rPr>
          <w:sz w:val="20"/>
          <w:lang w:val="fr-FR"/>
        </w:rPr>
        <w:t>vienna</w:t>
      </w:r>
      <w:r w:rsidRPr="002B216F">
        <w:rPr>
          <w:sz w:val="20"/>
        </w:rPr>
        <w:t>/</w:t>
      </w:r>
      <w:r w:rsidRPr="002B216F">
        <w:rPr>
          <w:sz w:val="20"/>
          <w:lang w:val="fr-FR"/>
        </w:rPr>
        <w:t>ru</w:t>
      </w:r>
      <w:r w:rsidRPr="002B216F">
        <w:rPr>
          <w:sz w:val="20"/>
        </w:rPr>
        <w:t>/</w:t>
      </w:r>
      <w:r w:rsidRPr="002B216F">
        <w:rPr>
          <w:sz w:val="20"/>
          <w:lang w:val="fr-FR"/>
        </w:rPr>
        <w:t>preface</w:t>
      </w:r>
      <w:r w:rsidRPr="002B216F">
        <w:rPr>
          <w:sz w:val="20"/>
        </w:rPr>
        <w:t>.</w:t>
      </w:r>
      <w:r w:rsidRPr="002B216F">
        <w:rPr>
          <w:sz w:val="20"/>
          <w:lang w:val="fr-FR"/>
        </w:rPr>
        <w:t>html</w:t>
      </w:r>
      <w:r w:rsidRPr="002B216F">
        <w:rPr>
          <w:sz w:val="20"/>
        </w:rPr>
        <w:t>.</w:t>
      </w:r>
    </w:p>
  </w:footnote>
  <w:footnote w:id="9">
    <w:p w:rsidR="002B216F" w:rsidRPr="002B216F" w:rsidRDefault="002B216F" w:rsidP="002B216F">
      <w:pPr>
        <w:pStyle w:val="aa"/>
        <w:spacing w:line="276" w:lineRule="auto"/>
        <w:rPr>
          <w:sz w:val="20"/>
          <w:lang w:val="fr-FR"/>
        </w:rPr>
      </w:pPr>
      <w:r w:rsidRPr="002B216F">
        <w:rPr>
          <w:rStyle w:val="ac"/>
          <w:sz w:val="20"/>
        </w:rPr>
        <w:footnoteRef/>
      </w:r>
      <w:r w:rsidRPr="002B216F">
        <w:rPr>
          <w:sz w:val="20"/>
          <w:lang w:val="fr-FR"/>
        </w:rPr>
        <w:t xml:space="preserve"> </w:t>
      </w:r>
      <w:r w:rsidRPr="002B216F">
        <w:rPr>
          <w:sz w:val="20"/>
        </w:rPr>
        <w:t>Руководство</w:t>
      </w:r>
      <w:r w:rsidRPr="002B216F">
        <w:rPr>
          <w:sz w:val="20"/>
          <w:lang w:val="fr-FR"/>
        </w:rPr>
        <w:t xml:space="preserve"> </w:t>
      </w:r>
      <w:r w:rsidRPr="002B216F">
        <w:rPr>
          <w:sz w:val="20"/>
        </w:rPr>
        <w:t>пользователя</w:t>
      </w:r>
      <w:r w:rsidRPr="002B216F">
        <w:rPr>
          <w:sz w:val="20"/>
          <w:lang w:val="fr-FR"/>
        </w:rPr>
        <w:t>, Classification internationale des éléments figuratifs des marques, établie en vertu de l’Arragnement de Vienne, 8</w:t>
      </w:r>
      <w:r w:rsidRPr="002B216F">
        <w:rPr>
          <w:sz w:val="20"/>
          <w:vertAlign w:val="superscript"/>
          <w:lang w:val="fr-FR"/>
        </w:rPr>
        <w:t>e</w:t>
      </w:r>
      <w:r w:rsidRPr="002B216F">
        <w:rPr>
          <w:sz w:val="20"/>
          <w:lang w:val="fr-FR"/>
        </w:rPr>
        <w:t xml:space="preserve"> éd., 2017, </w:t>
      </w:r>
      <w:r w:rsidRPr="002B216F">
        <w:rPr>
          <w:sz w:val="20"/>
        </w:rPr>
        <w:t>а</w:t>
      </w:r>
      <w:r w:rsidRPr="002B216F">
        <w:rPr>
          <w:sz w:val="20"/>
          <w:lang w:val="fr-FR"/>
        </w:rPr>
        <w:t>).</w:t>
      </w:r>
    </w:p>
  </w:footnote>
  <w:footnote w:id="10">
    <w:p w:rsidR="002B216F" w:rsidRPr="002B216F" w:rsidRDefault="002B216F" w:rsidP="002B216F">
      <w:pPr>
        <w:pStyle w:val="aa"/>
        <w:spacing w:line="276" w:lineRule="auto"/>
        <w:rPr>
          <w:sz w:val="20"/>
          <w:lang w:val="fr-FR"/>
        </w:rPr>
      </w:pPr>
      <w:r w:rsidRPr="002B216F">
        <w:rPr>
          <w:rStyle w:val="ac"/>
          <w:sz w:val="20"/>
        </w:rPr>
        <w:footnoteRef/>
      </w:r>
      <w:r w:rsidRPr="002B216F">
        <w:rPr>
          <w:sz w:val="20"/>
          <w:lang w:val="fr-FR"/>
        </w:rPr>
        <w:t xml:space="preserve"> </w:t>
      </w:r>
      <w:r w:rsidRPr="002B216F">
        <w:rPr>
          <w:sz w:val="20"/>
        </w:rPr>
        <w:t>Руководство</w:t>
      </w:r>
      <w:r w:rsidRPr="002B216F">
        <w:rPr>
          <w:sz w:val="20"/>
          <w:lang w:val="fr-FR"/>
        </w:rPr>
        <w:t xml:space="preserve"> </w:t>
      </w:r>
      <w:r w:rsidRPr="002B216F">
        <w:rPr>
          <w:sz w:val="20"/>
        </w:rPr>
        <w:t>пользователя</w:t>
      </w:r>
      <w:r w:rsidRPr="002B216F">
        <w:rPr>
          <w:sz w:val="20"/>
          <w:lang w:val="fr-FR"/>
        </w:rPr>
        <w:t>, Classification internationale des éléments figuratifs des marques, établie en vertu de l’Arragnement de Vienne, 8</w:t>
      </w:r>
      <w:r w:rsidRPr="002B216F">
        <w:rPr>
          <w:sz w:val="20"/>
          <w:vertAlign w:val="superscript"/>
          <w:lang w:val="fr-FR"/>
        </w:rPr>
        <w:t>e</w:t>
      </w:r>
      <w:r w:rsidRPr="002B216F">
        <w:rPr>
          <w:sz w:val="20"/>
          <w:lang w:val="fr-FR"/>
        </w:rPr>
        <w:t xml:space="preserve"> éd., 2017, </w:t>
      </w:r>
      <w:r w:rsidRPr="002B216F">
        <w:rPr>
          <w:sz w:val="20"/>
        </w:rPr>
        <w:t>е</w:t>
      </w:r>
      <w:r w:rsidRPr="002B216F">
        <w:rPr>
          <w:sz w:val="20"/>
          <w:lang w:val="fr-FR"/>
        </w:rPr>
        <w:t>).</w:t>
      </w:r>
    </w:p>
  </w:footnote>
  <w:footnote w:id="11">
    <w:p w:rsidR="002B216F" w:rsidRPr="002B216F" w:rsidRDefault="002B216F" w:rsidP="002B216F">
      <w:pPr>
        <w:pStyle w:val="ad"/>
        <w:spacing w:before="0" w:beforeAutospacing="0" w:after="0" w:afterAutospacing="0" w:line="276" w:lineRule="auto"/>
        <w:rPr>
          <w:sz w:val="20"/>
          <w:szCs w:val="20"/>
        </w:rPr>
      </w:pPr>
      <w:r w:rsidRPr="002B216F">
        <w:rPr>
          <w:rStyle w:val="ac"/>
          <w:sz w:val="20"/>
          <w:szCs w:val="20"/>
        </w:rPr>
        <w:footnoteRef/>
      </w:r>
      <w:r w:rsidRPr="002B216F">
        <w:rPr>
          <w:sz w:val="20"/>
          <w:szCs w:val="20"/>
        </w:rPr>
        <w:t xml:space="preserve"> </w:t>
      </w:r>
      <w:proofErr w:type="gramStart"/>
      <w:r w:rsidRPr="002B216F">
        <w:rPr>
          <w:sz w:val="20"/>
          <w:szCs w:val="20"/>
        </w:rPr>
        <w:t xml:space="preserve">Регламент (ЕС) 2017/1001 Европейского парламента и Совета от 14.06.2017 о товарном знаке ЕС, </w:t>
      </w:r>
      <w:r w:rsidRPr="001C7759">
        <w:rPr>
          <w:rStyle w:val="ae"/>
          <w:rFonts w:eastAsiaTheme="majorEastAsia"/>
          <w:i w:val="0"/>
          <w:sz w:val="20"/>
          <w:szCs w:val="20"/>
          <w:lang w:val="fr-FR"/>
        </w:rPr>
        <w:t>OJ</w:t>
      </w:r>
      <w:r w:rsidRPr="001C7759">
        <w:rPr>
          <w:rStyle w:val="ae"/>
          <w:rFonts w:eastAsiaTheme="majorEastAsia"/>
          <w:i w:val="0"/>
          <w:sz w:val="20"/>
          <w:szCs w:val="20"/>
        </w:rPr>
        <w:t> </w:t>
      </w:r>
      <w:r w:rsidRPr="001C7759">
        <w:rPr>
          <w:rStyle w:val="ae"/>
          <w:rFonts w:eastAsiaTheme="majorEastAsia"/>
          <w:i w:val="0"/>
          <w:sz w:val="20"/>
          <w:szCs w:val="20"/>
          <w:lang w:val="fr-FR"/>
        </w:rPr>
        <w:t>L</w:t>
      </w:r>
      <w:r w:rsidRPr="001C7759">
        <w:rPr>
          <w:rStyle w:val="ae"/>
          <w:rFonts w:eastAsiaTheme="majorEastAsia"/>
          <w:i w:val="0"/>
          <w:sz w:val="20"/>
          <w:szCs w:val="20"/>
        </w:rPr>
        <w:t> 154/1, 16.06.2017</w:t>
      </w:r>
      <w:r w:rsidRPr="002B216F">
        <w:rPr>
          <w:rStyle w:val="ae"/>
          <w:rFonts w:eastAsiaTheme="majorEastAsia"/>
          <w:sz w:val="20"/>
          <w:szCs w:val="20"/>
        </w:rPr>
        <w:t xml:space="preserve"> </w:t>
      </w:r>
      <w:r w:rsidRPr="001C7759">
        <w:rPr>
          <w:rStyle w:val="ae"/>
          <w:rFonts w:eastAsiaTheme="majorEastAsia"/>
          <w:i w:val="0"/>
          <w:sz w:val="20"/>
          <w:szCs w:val="20"/>
        </w:rPr>
        <w:t>(далее – Регламент ЕС 2017/1001) и</w:t>
      </w:r>
      <w:r w:rsidRPr="001C7759">
        <w:rPr>
          <w:rStyle w:val="ae"/>
          <w:rFonts w:eastAsiaTheme="majorEastAsia"/>
          <w:sz w:val="20"/>
          <w:szCs w:val="20"/>
        </w:rPr>
        <w:t xml:space="preserve"> </w:t>
      </w:r>
      <w:r w:rsidRPr="001C7759">
        <w:rPr>
          <w:sz w:val="20"/>
          <w:szCs w:val="20"/>
        </w:rPr>
        <w:t>Директива</w:t>
      </w:r>
      <w:r w:rsidRPr="002B216F">
        <w:rPr>
          <w:sz w:val="20"/>
          <w:szCs w:val="20"/>
        </w:rPr>
        <w:t xml:space="preserve"> ЕС 2015/2436 Европейского парламента и Совета от 16.12.2015, сближающая законодательства государств–членов по товарным знакам, </w:t>
      </w:r>
      <w:r w:rsidRPr="002B216F">
        <w:rPr>
          <w:sz w:val="20"/>
          <w:szCs w:val="20"/>
          <w:lang w:val="en-US"/>
        </w:rPr>
        <w:t>OJ</w:t>
      </w:r>
      <w:r w:rsidRPr="002B216F">
        <w:rPr>
          <w:sz w:val="20"/>
          <w:szCs w:val="20"/>
        </w:rPr>
        <w:t xml:space="preserve">  </w:t>
      </w:r>
      <w:r w:rsidRPr="002B216F">
        <w:rPr>
          <w:sz w:val="20"/>
          <w:szCs w:val="20"/>
          <w:lang w:val="en-US"/>
        </w:rPr>
        <w:t>L</w:t>
      </w:r>
      <w:r w:rsidRPr="002B216F">
        <w:rPr>
          <w:sz w:val="20"/>
          <w:szCs w:val="20"/>
        </w:rPr>
        <w:t xml:space="preserve"> 336/1, 23.12.2015 (далее </w:t>
      </w:r>
      <w:r w:rsidRPr="002B216F">
        <w:rPr>
          <w:rStyle w:val="ae"/>
          <w:rFonts w:eastAsiaTheme="majorEastAsia"/>
          <w:sz w:val="20"/>
          <w:szCs w:val="20"/>
        </w:rPr>
        <w:t>–</w:t>
      </w:r>
      <w:r w:rsidRPr="002B216F">
        <w:rPr>
          <w:sz w:val="20"/>
          <w:szCs w:val="20"/>
        </w:rPr>
        <w:t xml:space="preserve"> Директива ЕС 2015/2436).</w:t>
      </w:r>
      <w:proofErr w:type="gramEnd"/>
    </w:p>
  </w:footnote>
  <w:footnote w:id="12">
    <w:p w:rsidR="002B216F" w:rsidRPr="002B216F" w:rsidRDefault="002B216F" w:rsidP="002B216F">
      <w:pPr>
        <w:pStyle w:val="aa"/>
        <w:spacing w:line="276" w:lineRule="auto"/>
        <w:rPr>
          <w:sz w:val="20"/>
        </w:rPr>
      </w:pPr>
      <w:r w:rsidRPr="002B216F">
        <w:rPr>
          <w:rStyle w:val="ac"/>
          <w:sz w:val="20"/>
        </w:rPr>
        <w:footnoteRef/>
      </w:r>
      <w:r w:rsidRPr="002B216F">
        <w:rPr>
          <w:sz w:val="20"/>
        </w:rPr>
        <w:t xml:space="preserve"> Статья 4 Регламента ЕС 2017/1001; статья 3 Директивы ЕС 2015/2436.</w:t>
      </w:r>
    </w:p>
  </w:footnote>
  <w:footnote w:id="13">
    <w:p w:rsidR="002B216F" w:rsidRPr="002B216F" w:rsidRDefault="002B216F" w:rsidP="002B216F">
      <w:pPr>
        <w:spacing w:after="0"/>
        <w:jc w:val="both"/>
        <w:rPr>
          <w:rFonts w:ascii="Times New Roman" w:hAnsi="Times New Roman" w:cs="Times New Roman"/>
          <w:sz w:val="20"/>
          <w:szCs w:val="20"/>
        </w:rPr>
      </w:pPr>
      <w:r w:rsidRPr="002B216F">
        <w:rPr>
          <w:rStyle w:val="ac"/>
          <w:rFonts w:ascii="Times New Roman" w:hAnsi="Times New Roman" w:cs="Times New Roman"/>
          <w:sz w:val="20"/>
          <w:szCs w:val="20"/>
        </w:rPr>
        <w:footnoteRef/>
      </w:r>
      <w:r w:rsidR="00A854BE">
        <w:rPr>
          <w:rFonts w:ascii="Times New Roman" w:hAnsi="Times New Roman" w:cs="Times New Roman"/>
          <w:sz w:val="20"/>
          <w:szCs w:val="20"/>
        </w:rPr>
        <w:t xml:space="preserve"> Статья 3.3.с) Р</w:t>
      </w:r>
      <w:r w:rsidRPr="002B216F">
        <w:rPr>
          <w:rFonts w:ascii="Times New Roman" w:hAnsi="Times New Roman" w:cs="Times New Roman"/>
          <w:sz w:val="20"/>
          <w:szCs w:val="20"/>
        </w:rPr>
        <w:t>егламент</w:t>
      </w:r>
      <w:r w:rsidR="00A854BE">
        <w:rPr>
          <w:rFonts w:ascii="Times New Roman" w:hAnsi="Times New Roman" w:cs="Times New Roman"/>
          <w:sz w:val="20"/>
          <w:szCs w:val="20"/>
        </w:rPr>
        <w:t>а</w:t>
      </w:r>
      <w:r w:rsidRPr="002B216F">
        <w:rPr>
          <w:rFonts w:ascii="Times New Roman" w:hAnsi="Times New Roman" w:cs="Times New Roman"/>
          <w:sz w:val="20"/>
          <w:szCs w:val="20"/>
        </w:rPr>
        <w:t xml:space="preserve"> Комиссии</w:t>
      </w:r>
      <w:r w:rsidRPr="002B216F">
        <w:rPr>
          <w:rFonts w:ascii="Times New Roman" w:eastAsia="Times New Roman" w:hAnsi="Times New Roman" w:cs="Times New Roman"/>
          <w:sz w:val="20"/>
          <w:szCs w:val="20"/>
          <w:lang w:eastAsia="ru-RU"/>
        </w:rPr>
        <w:t xml:space="preserve"> (ЕС) 2018/62</w:t>
      </w:r>
      <w:r w:rsidR="00A854BE">
        <w:rPr>
          <w:rFonts w:ascii="Times New Roman" w:eastAsia="Times New Roman" w:hAnsi="Times New Roman" w:cs="Times New Roman"/>
          <w:sz w:val="20"/>
          <w:szCs w:val="20"/>
          <w:lang w:eastAsia="ru-RU"/>
        </w:rPr>
        <w:t>6 от 05.03.2018, устанавливающего</w:t>
      </w:r>
      <w:r w:rsidRPr="002B216F">
        <w:rPr>
          <w:rFonts w:ascii="Times New Roman" w:eastAsia="Times New Roman" w:hAnsi="Times New Roman" w:cs="Times New Roman"/>
          <w:sz w:val="20"/>
          <w:szCs w:val="20"/>
          <w:lang w:eastAsia="ru-RU"/>
        </w:rPr>
        <w:t xml:space="preserve"> детальные правила для имплементации некоторых положений </w:t>
      </w:r>
      <w:r w:rsidRPr="002B216F">
        <w:rPr>
          <w:rFonts w:ascii="Times New Roman" w:hAnsi="Times New Roman" w:cs="Times New Roman"/>
          <w:sz w:val="20"/>
          <w:szCs w:val="20"/>
        </w:rPr>
        <w:t>Регламента (ЕС) 2017/1001 Европейского парламента и Совета от 14.06.2017 о товарном знаке ЕС</w:t>
      </w:r>
      <w:r w:rsidR="00A854BE">
        <w:rPr>
          <w:rFonts w:ascii="Times New Roman" w:eastAsia="Times New Roman" w:hAnsi="Times New Roman" w:cs="Times New Roman"/>
          <w:sz w:val="20"/>
          <w:szCs w:val="20"/>
          <w:lang w:eastAsia="ru-RU"/>
        </w:rPr>
        <w:t>, и аннулирующего и</w:t>
      </w:r>
      <w:r w:rsidRPr="002B216F">
        <w:rPr>
          <w:rFonts w:ascii="Times New Roman" w:eastAsia="Times New Roman" w:hAnsi="Times New Roman" w:cs="Times New Roman"/>
          <w:sz w:val="20"/>
          <w:szCs w:val="20"/>
          <w:lang w:eastAsia="ru-RU"/>
        </w:rPr>
        <w:t xml:space="preserve">мплементирующий регламент (ЕС) 2017/1431, </w:t>
      </w:r>
      <w:r w:rsidRPr="002B216F">
        <w:rPr>
          <w:rFonts w:ascii="Times New Roman" w:eastAsia="Times New Roman" w:hAnsi="Times New Roman" w:cs="Times New Roman"/>
          <w:sz w:val="20"/>
          <w:szCs w:val="20"/>
          <w:lang w:val="en-US" w:eastAsia="ru-RU"/>
        </w:rPr>
        <w:t>C</w:t>
      </w:r>
      <w:r w:rsidRPr="002B216F">
        <w:rPr>
          <w:rFonts w:ascii="Times New Roman" w:eastAsia="Times New Roman" w:hAnsi="Times New Roman" w:cs="Times New Roman"/>
          <w:sz w:val="20"/>
          <w:szCs w:val="20"/>
          <w:lang w:eastAsia="ru-RU"/>
        </w:rPr>
        <w:t>/2018/1225.</w:t>
      </w:r>
    </w:p>
  </w:footnote>
  <w:footnote w:id="14">
    <w:p w:rsidR="002B216F" w:rsidRPr="002B216F" w:rsidRDefault="002B216F" w:rsidP="002B216F">
      <w:pPr>
        <w:pStyle w:val="aa"/>
        <w:spacing w:line="276" w:lineRule="auto"/>
        <w:rPr>
          <w:sz w:val="20"/>
          <w:lang w:val="fr-FR"/>
        </w:rPr>
      </w:pPr>
      <w:r w:rsidRPr="002B216F">
        <w:rPr>
          <w:rStyle w:val="ac"/>
          <w:sz w:val="20"/>
        </w:rPr>
        <w:footnoteRef/>
      </w:r>
      <w:r w:rsidRPr="002B216F">
        <w:rPr>
          <w:sz w:val="20"/>
        </w:rPr>
        <w:t xml:space="preserve"> Руководство по оценке заявок Ведомства ЕС по интеллектуальной собственности, 01.02.2020, </w:t>
      </w:r>
      <w:r w:rsidRPr="002B216F">
        <w:rPr>
          <w:sz w:val="20"/>
          <w:lang w:val="en-US"/>
        </w:rPr>
        <w:t>p</w:t>
      </w:r>
      <w:r w:rsidRPr="002B216F">
        <w:rPr>
          <w:sz w:val="20"/>
        </w:rPr>
        <w:t>. 318 (</w:t>
      </w:r>
      <w:r w:rsidRPr="002B216F">
        <w:rPr>
          <w:sz w:val="20"/>
          <w:lang w:val="en-US"/>
        </w:rPr>
        <w:t>part</w:t>
      </w:r>
      <w:r w:rsidRPr="002B216F">
        <w:rPr>
          <w:sz w:val="20"/>
        </w:rPr>
        <w:t xml:space="preserve"> </w:t>
      </w:r>
      <w:r w:rsidRPr="002B216F">
        <w:rPr>
          <w:sz w:val="20"/>
          <w:lang w:val="en-US"/>
        </w:rPr>
        <w:t>B</w:t>
      </w:r>
      <w:r w:rsidRPr="002B216F">
        <w:rPr>
          <w:sz w:val="20"/>
        </w:rPr>
        <w:t xml:space="preserve"> </w:t>
      </w:r>
      <w:r w:rsidRPr="002B216F">
        <w:rPr>
          <w:sz w:val="20"/>
          <w:lang w:val="en-US"/>
        </w:rPr>
        <w:t>Chapter</w:t>
      </w:r>
      <w:r w:rsidRPr="002B216F">
        <w:rPr>
          <w:sz w:val="20"/>
        </w:rPr>
        <w:t xml:space="preserve"> 2),</w:t>
      </w:r>
      <w:r w:rsidRPr="002B216F">
        <w:rPr>
          <w:sz w:val="20"/>
          <w:lang w:val="en-US"/>
        </w:rPr>
        <w:t> </w:t>
      </w:r>
      <w:r w:rsidRPr="002B216F">
        <w:rPr>
          <w:sz w:val="20"/>
        </w:rPr>
        <w:t>§</w:t>
      </w:r>
      <w:r w:rsidRPr="002B216F">
        <w:rPr>
          <w:sz w:val="20"/>
          <w:lang w:val="fr-FR"/>
        </w:rPr>
        <w:t> </w:t>
      </w:r>
      <w:r w:rsidRPr="002B216F">
        <w:rPr>
          <w:sz w:val="20"/>
        </w:rPr>
        <w:t xml:space="preserve">2.1. Такое расширительное понимание «объемного товарного знака» также вписано в Общую практику по изображению новых типов товарных знаков, принятую </w:t>
      </w:r>
      <w:r w:rsidRPr="002B216F">
        <w:rPr>
          <w:sz w:val="20"/>
          <w:lang w:val="fr-FR"/>
        </w:rPr>
        <w:t xml:space="preserve">04.12.2017 </w:t>
      </w:r>
      <w:r w:rsidRPr="002B216F">
        <w:rPr>
          <w:sz w:val="20"/>
        </w:rPr>
        <w:t>года</w:t>
      </w:r>
      <w:r w:rsidRPr="002B216F">
        <w:rPr>
          <w:sz w:val="20"/>
          <w:lang w:val="fr-FR"/>
        </w:rPr>
        <w:t xml:space="preserve"> </w:t>
      </w:r>
      <w:r w:rsidRPr="002B216F">
        <w:rPr>
          <w:sz w:val="20"/>
        </w:rPr>
        <w:t>различными</w:t>
      </w:r>
      <w:r w:rsidRPr="002B216F">
        <w:rPr>
          <w:sz w:val="20"/>
          <w:lang w:val="fr-FR"/>
        </w:rPr>
        <w:t xml:space="preserve"> </w:t>
      </w:r>
      <w:r w:rsidRPr="002B216F">
        <w:rPr>
          <w:sz w:val="20"/>
        </w:rPr>
        <w:t>ведомствами</w:t>
      </w:r>
      <w:r w:rsidRPr="002B216F">
        <w:rPr>
          <w:sz w:val="20"/>
          <w:lang w:val="fr-FR"/>
        </w:rPr>
        <w:t xml:space="preserve"> </w:t>
      </w:r>
      <w:r w:rsidRPr="002B216F">
        <w:rPr>
          <w:sz w:val="20"/>
        </w:rPr>
        <w:t>стран</w:t>
      </w:r>
      <w:r w:rsidRPr="002B216F">
        <w:rPr>
          <w:sz w:val="20"/>
          <w:lang w:val="fr-FR"/>
        </w:rPr>
        <w:t xml:space="preserve"> – </w:t>
      </w:r>
      <w:r w:rsidRPr="002B216F">
        <w:rPr>
          <w:sz w:val="20"/>
        </w:rPr>
        <w:t>членов</w:t>
      </w:r>
      <w:r w:rsidRPr="002B216F">
        <w:rPr>
          <w:sz w:val="20"/>
          <w:lang w:val="fr-FR"/>
        </w:rPr>
        <w:t xml:space="preserve"> (</w:t>
      </w:r>
      <w:r w:rsidRPr="002B216F">
        <w:rPr>
          <w:i/>
          <w:sz w:val="20"/>
          <w:lang w:val="fr-FR"/>
        </w:rPr>
        <w:t>Communication commune sur la représentation de nouveaux types de marques</w:t>
      </w:r>
      <w:r w:rsidRPr="002B216F">
        <w:rPr>
          <w:sz w:val="20"/>
          <w:lang w:val="fr-FR"/>
        </w:rPr>
        <w:t>, 2018).</w:t>
      </w:r>
    </w:p>
  </w:footnote>
  <w:footnote w:id="15">
    <w:p w:rsidR="002B216F" w:rsidRPr="002B216F" w:rsidRDefault="002B216F" w:rsidP="002B216F">
      <w:pPr>
        <w:pStyle w:val="aa"/>
        <w:spacing w:line="276" w:lineRule="auto"/>
        <w:rPr>
          <w:sz w:val="20"/>
          <w:lang w:val="en-US"/>
        </w:rPr>
      </w:pPr>
      <w:r w:rsidRPr="002B216F">
        <w:rPr>
          <w:rStyle w:val="ac"/>
          <w:sz w:val="20"/>
        </w:rPr>
        <w:footnoteRef/>
      </w:r>
      <w:r w:rsidRPr="002B216F">
        <w:rPr>
          <w:sz w:val="20"/>
          <w:lang w:val="en-US"/>
        </w:rPr>
        <w:t xml:space="preserve"> G. GHIDINI, «The Protection of (Three-Dimensional) Shape Trademarks and Its Implications for the Protection of Competition», </w:t>
      </w:r>
      <w:r w:rsidRPr="002B216F">
        <w:rPr>
          <w:i/>
          <w:sz w:val="20"/>
          <w:lang w:val="en-US"/>
        </w:rPr>
        <w:t>in</w:t>
      </w:r>
      <w:r w:rsidRPr="002B216F">
        <w:rPr>
          <w:sz w:val="20"/>
          <w:lang w:val="en-US"/>
        </w:rPr>
        <w:t xml:space="preserve"> I. CALBOLI, M. SENFTLEBEN (ed</w:t>
      </w:r>
      <w:r w:rsidRPr="002B216F">
        <w:rPr>
          <w:i/>
          <w:sz w:val="20"/>
          <w:lang w:val="en-US"/>
        </w:rPr>
        <w:t>.), The protection of non-traditional trademarks, critical perspectives</w:t>
      </w:r>
      <w:r w:rsidRPr="002B216F">
        <w:rPr>
          <w:sz w:val="20"/>
          <w:lang w:val="en-US"/>
        </w:rPr>
        <w:t>, OUP, 2018, p. 203 ff, p. 205.</w:t>
      </w:r>
    </w:p>
  </w:footnote>
  <w:footnote w:id="16">
    <w:p w:rsidR="002B216F" w:rsidRPr="002B216F" w:rsidRDefault="002B216F" w:rsidP="002B216F">
      <w:pPr>
        <w:pStyle w:val="aa"/>
        <w:spacing w:line="276" w:lineRule="auto"/>
        <w:rPr>
          <w:sz w:val="20"/>
          <w:lang w:val="fr-FR"/>
        </w:rPr>
      </w:pPr>
      <w:r w:rsidRPr="002B216F">
        <w:rPr>
          <w:rStyle w:val="ac"/>
          <w:sz w:val="20"/>
        </w:rPr>
        <w:footnoteRef/>
      </w:r>
      <w:r w:rsidRPr="002B216F">
        <w:rPr>
          <w:sz w:val="20"/>
        </w:rPr>
        <w:t xml:space="preserve"> Отдельно можно отметить благосклонный подход французских судей, который был основан на «ошибке» в переложении директивы ЕС, см. </w:t>
      </w:r>
      <w:r w:rsidRPr="002B216F">
        <w:rPr>
          <w:sz w:val="20"/>
          <w:lang w:val="fr-FR"/>
        </w:rPr>
        <w:t xml:space="preserve">S. CHATRY, «Stratégies de cumul de protections d’un bien intellectuel», </w:t>
      </w:r>
      <w:r w:rsidRPr="002B216F">
        <w:rPr>
          <w:i/>
          <w:iCs/>
          <w:sz w:val="20"/>
          <w:lang w:val="fr-FR"/>
        </w:rPr>
        <w:t>Propriétés intellectuelles</w:t>
      </w:r>
      <w:r w:rsidRPr="002B216F">
        <w:rPr>
          <w:sz w:val="20"/>
          <w:lang w:val="fr-FR"/>
        </w:rPr>
        <w:t xml:space="preserve">, janv. 2021, n° 78, c. 9–22. </w:t>
      </w:r>
    </w:p>
  </w:footnote>
  <w:footnote w:id="17">
    <w:p w:rsidR="002B216F" w:rsidRPr="004B331F" w:rsidRDefault="002B216F" w:rsidP="002B216F">
      <w:pPr>
        <w:pStyle w:val="aa"/>
        <w:spacing w:line="276" w:lineRule="auto"/>
        <w:rPr>
          <w:sz w:val="20"/>
          <w:lang w:val="fr-FR"/>
        </w:rPr>
      </w:pPr>
      <w:r w:rsidRPr="002B216F">
        <w:rPr>
          <w:rStyle w:val="ac"/>
          <w:sz w:val="20"/>
        </w:rPr>
        <w:footnoteRef/>
      </w:r>
      <w:r w:rsidRPr="002B216F">
        <w:rPr>
          <w:sz w:val="20"/>
          <w:lang w:val="fr-FR"/>
        </w:rPr>
        <w:t xml:space="preserve"> A. THRIERR, O. THRIERR, «Arrangements internationaux», </w:t>
      </w:r>
      <w:r w:rsidRPr="002B216F">
        <w:rPr>
          <w:i/>
          <w:sz w:val="20"/>
          <w:lang w:val="fr-FR"/>
        </w:rPr>
        <w:t>Jurisclasseur Marques, Dessins et Modèles</w:t>
      </w:r>
      <w:r w:rsidRPr="002B216F">
        <w:rPr>
          <w:sz w:val="20"/>
          <w:lang w:val="fr-FR"/>
        </w:rPr>
        <w:t>, fasc. </w:t>
      </w:r>
      <w:r w:rsidRPr="004B331F">
        <w:rPr>
          <w:sz w:val="20"/>
          <w:lang w:val="fr-FR"/>
        </w:rPr>
        <w:t>7730, 2015.</w:t>
      </w:r>
    </w:p>
  </w:footnote>
  <w:footnote w:id="18">
    <w:p w:rsidR="002B216F" w:rsidRPr="004B331F" w:rsidRDefault="002B216F" w:rsidP="002B216F">
      <w:pPr>
        <w:spacing w:after="0"/>
        <w:jc w:val="both"/>
        <w:rPr>
          <w:rFonts w:ascii="Times New Roman" w:hAnsi="Times New Roman" w:cs="Times New Roman"/>
          <w:sz w:val="20"/>
          <w:szCs w:val="20"/>
          <w:lang w:val="fr-FR" w:eastAsia="ru-RU"/>
        </w:rPr>
      </w:pPr>
      <w:r w:rsidRPr="002B216F">
        <w:rPr>
          <w:rStyle w:val="ac"/>
          <w:rFonts w:ascii="Times New Roman" w:hAnsi="Times New Roman" w:cs="Times New Roman"/>
          <w:sz w:val="20"/>
          <w:szCs w:val="20"/>
        </w:rPr>
        <w:footnoteRef/>
      </w:r>
      <w:r w:rsidRPr="004B331F">
        <w:rPr>
          <w:rFonts w:ascii="Times New Roman" w:hAnsi="Times New Roman" w:cs="Times New Roman"/>
          <w:sz w:val="20"/>
          <w:szCs w:val="20"/>
          <w:lang w:val="fr-FR"/>
        </w:rPr>
        <w:t xml:space="preserve"> </w:t>
      </w:r>
      <w:r w:rsidRPr="002B216F">
        <w:rPr>
          <w:rFonts w:ascii="Times New Roman" w:hAnsi="Times New Roman" w:cs="Times New Roman"/>
          <w:sz w:val="20"/>
          <w:szCs w:val="20"/>
          <w:lang w:eastAsia="ru-RU"/>
        </w:rPr>
        <w:t>Одинаковые</w:t>
      </w:r>
      <w:r w:rsidRPr="004B331F">
        <w:rPr>
          <w:rFonts w:ascii="Times New Roman" w:hAnsi="Times New Roman" w:cs="Times New Roman"/>
          <w:sz w:val="20"/>
          <w:szCs w:val="20"/>
          <w:lang w:val="fr-FR" w:eastAsia="ru-RU"/>
        </w:rPr>
        <w:t xml:space="preserve"> </w:t>
      </w:r>
      <w:r w:rsidRPr="002B216F">
        <w:rPr>
          <w:rFonts w:ascii="Times New Roman" w:hAnsi="Times New Roman" w:cs="Times New Roman"/>
          <w:sz w:val="20"/>
          <w:szCs w:val="20"/>
          <w:lang w:eastAsia="ru-RU"/>
        </w:rPr>
        <w:t>термины</w:t>
      </w:r>
      <w:r w:rsidRPr="004B331F">
        <w:rPr>
          <w:rFonts w:ascii="Times New Roman" w:hAnsi="Times New Roman" w:cs="Times New Roman"/>
          <w:sz w:val="20"/>
          <w:szCs w:val="20"/>
          <w:lang w:val="fr-FR" w:eastAsia="ru-RU"/>
        </w:rPr>
        <w:t xml:space="preserve"> </w:t>
      </w:r>
      <w:r w:rsidRPr="002B216F">
        <w:rPr>
          <w:rFonts w:ascii="Times New Roman" w:hAnsi="Times New Roman" w:cs="Times New Roman"/>
          <w:sz w:val="20"/>
          <w:szCs w:val="20"/>
          <w:lang w:eastAsia="ru-RU"/>
        </w:rPr>
        <w:t>использованы</w:t>
      </w:r>
      <w:r w:rsidRPr="004B331F">
        <w:rPr>
          <w:rFonts w:ascii="Times New Roman" w:hAnsi="Times New Roman" w:cs="Times New Roman"/>
          <w:sz w:val="20"/>
          <w:szCs w:val="20"/>
          <w:lang w:val="fr-FR" w:eastAsia="ru-RU"/>
        </w:rPr>
        <w:t xml:space="preserve"> </w:t>
      </w:r>
      <w:r w:rsidRPr="002B216F">
        <w:rPr>
          <w:rFonts w:ascii="Times New Roman" w:hAnsi="Times New Roman" w:cs="Times New Roman"/>
          <w:sz w:val="20"/>
          <w:szCs w:val="20"/>
          <w:lang w:eastAsia="ru-RU"/>
        </w:rPr>
        <w:t>в</w:t>
      </w:r>
      <w:r w:rsidRPr="004B331F">
        <w:rPr>
          <w:rFonts w:ascii="Times New Roman" w:hAnsi="Times New Roman" w:cs="Times New Roman"/>
          <w:sz w:val="20"/>
          <w:szCs w:val="20"/>
          <w:lang w:val="fr-FR" w:eastAsia="ru-RU"/>
        </w:rPr>
        <w:t xml:space="preserve"> </w:t>
      </w:r>
      <w:r w:rsidRPr="002B216F">
        <w:rPr>
          <w:rFonts w:ascii="Times New Roman" w:hAnsi="Times New Roman" w:cs="Times New Roman"/>
          <w:sz w:val="20"/>
          <w:szCs w:val="20"/>
          <w:lang w:eastAsia="ru-RU"/>
        </w:rPr>
        <w:t>директиве</w:t>
      </w:r>
      <w:r w:rsidRPr="004B331F">
        <w:rPr>
          <w:rFonts w:ascii="Times New Roman" w:hAnsi="Times New Roman" w:cs="Times New Roman"/>
          <w:sz w:val="20"/>
          <w:szCs w:val="20"/>
          <w:lang w:val="fr-FR" w:eastAsia="ru-RU"/>
        </w:rPr>
        <w:t xml:space="preserve"> № 2008/95 (</w:t>
      </w:r>
      <w:r w:rsidRPr="002B216F">
        <w:rPr>
          <w:rFonts w:ascii="Times New Roman" w:hAnsi="Times New Roman" w:cs="Times New Roman"/>
          <w:sz w:val="20"/>
          <w:szCs w:val="20"/>
          <w:lang w:eastAsia="ru-RU"/>
        </w:rPr>
        <w:t>определение</w:t>
      </w:r>
      <w:r w:rsidRPr="004B331F">
        <w:rPr>
          <w:rFonts w:ascii="Times New Roman" w:hAnsi="Times New Roman" w:cs="Times New Roman"/>
          <w:sz w:val="20"/>
          <w:szCs w:val="20"/>
          <w:lang w:val="fr-FR" w:eastAsia="ru-RU"/>
        </w:rPr>
        <w:t xml:space="preserve">: </w:t>
      </w:r>
      <w:r w:rsidRPr="002B216F">
        <w:rPr>
          <w:rFonts w:ascii="Times New Roman" w:hAnsi="Times New Roman" w:cs="Times New Roman"/>
          <w:sz w:val="20"/>
          <w:szCs w:val="20"/>
          <w:lang w:eastAsia="ru-RU"/>
        </w:rPr>
        <w:t>статья</w:t>
      </w:r>
      <w:r w:rsidRPr="004B331F">
        <w:rPr>
          <w:rFonts w:ascii="Times New Roman" w:hAnsi="Times New Roman" w:cs="Times New Roman"/>
          <w:sz w:val="20"/>
          <w:szCs w:val="20"/>
          <w:lang w:val="fr-FR" w:eastAsia="ru-RU"/>
        </w:rPr>
        <w:t xml:space="preserve"> 2; </w:t>
      </w:r>
      <w:r w:rsidRPr="002B216F">
        <w:rPr>
          <w:rFonts w:ascii="Times New Roman" w:hAnsi="Times New Roman" w:cs="Times New Roman"/>
          <w:sz w:val="20"/>
          <w:szCs w:val="20"/>
          <w:lang w:eastAsia="ru-RU"/>
        </w:rPr>
        <w:t>причины</w:t>
      </w:r>
      <w:r w:rsidRPr="004B331F">
        <w:rPr>
          <w:rFonts w:ascii="Times New Roman" w:hAnsi="Times New Roman" w:cs="Times New Roman"/>
          <w:sz w:val="20"/>
          <w:szCs w:val="20"/>
          <w:lang w:val="fr-FR" w:eastAsia="ru-RU"/>
        </w:rPr>
        <w:t xml:space="preserve"> </w:t>
      </w:r>
      <w:r w:rsidRPr="002B216F">
        <w:rPr>
          <w:rFonts w:ascii="Times New Roman" w:hAnsi="Times New Roman" w:cs="Times New Roman"/>
          <w:sz w:val="20"/>
          <w:szCs w:val="20"/>
          <w:lang w:eastAsia="ru-RU"/>
        </w:rPr>
        <w:t>отказа</w:t>
      </w:r>
      <w:r w:rsidRPr="004B331F">
        <w:rPr>
          <w:rFonts w:ascii="Times New Roman" w:hAnsi="Times New Roman" w:cs="Times New Roman"/>
          <w:sz w:val="20"/>
          <w:szCs w:val="20"/>
          <w:lang w:val="fr-FR" w:eastAsia="ru-RU"/>
        </w:rPr>
        <w:t xml:space="preserve"> </w:t>
      </w:r>
      <w:r w:rsidRPr="002B216F">
        <w:rPr>
          <w:rFonts w:ascii="Times New Roman" w:hAnsi="Times New Roman" w:cs="Times New Roman"/>
          <w:sz w:val="20"/>
          <w:szCs w:val="20"/>
          <w:lang w:eastAsia="ru-RU"/>
        </w:rPr>
        <w:t>или</w:t>
      </w:r>
      <w:r w:rsidRPr="004B331F">
        <w:rPr>
          <w:rFonts w:ascii="Times New Roman" w:hAnsi="Times New Roman" w:cs="Times New Roman"/>
          <w:sz w:val="20"/>
          <w:szCs w:val="20"/>
          <w:lang w:val="fr-FR" w:eastAsia="ru-RU"/>
        </w:rPr>
        <w:t xml:space="preserve"> </w:t>
      </w:r>
      <w:r w:rsidRPr="002B216F">
        <w:rPr>
          <w:rFonts w:ascii="Times New Roman" w:hAnsi="Times New Roman" w:cs="Times New Roman"/>
          <w:sz w:val="20"/>
          <w:szCs w:val="20"/>
          <w:lang w:eastAsia="ru-RU"/>
        </w:rPr>
        <w:t>аннулирования</w:t>
      </w:r>
      <w:r w:rsidRPr="004B331F">
        <w:rPr>
          <w:rFonts w:ascii="Times New Roman" w:hAnsi="Times New Roman" w:cs="Times New Roman"/>
          <w:sz w:val="20"/>
          <w:szCs w:val="20"/>
          <w:lang w:val="fr-FR" w:eastAsia="ru-RU"/>
        </w:rPr>
        <w:t xml:space="preserve">: </w:t>
      </w:r>
      <w:r w:rsidRPr="002B216F">
        <w:rPr>
          <w:rFonts w:ascii="Times New Roman" w:hAnsi="Times New Roman" w:cs="Times New Roman"/>
          <w:sz w:val="20"/>
          <w:szCs w:val="20"/>
          <w:lang w:eastAsia="ru-RU"/>
        </w:rPr>
        <w:t>статья</w:t>
      </w:r>
      <w:r w:rsidRPr="004B331F">
        <w:rPr>
          <w:rFonts w:ascii="Times New Roman" w:hAnsi="Times New Roman" w:cs="Times New Roman"/>
          <w:sz w:val="20"/>
          <w:szCs w:val="20"/>
          <w:lang w:val="fr-FR" w:eastAsia="ru-RU"/>
        </w:rPr>
        <w:t xml:space="preserve"> 3.1.</w:t>
      </w:r>
      <w:r w:rsidRPr="002B216F">
        <w:rPr>
          <w:rFonts w:ascii="Times New Roman" w:hAnsi="Times New Roman" w:cs="Times New Roman"/>
          <w:sz w:val="20"/>
          <w:szCs w:val="20"/>
          <w:lang w:eastAsia="ru-RU"/>
        </w:rPr>
        <w:t>е</w:t>
      </w:r>
      <w:r w:rsidRPr="004B331F">
        <w:rPr>
          <w:rFonts w:ascii="Times New Roman" w:hAnsi="Times New Roman" w:cs="Times New Roman"/>
          <w:sz w:val="20"/>
          <w:szCs w:val="20"/>
          <w:lang w:val="fr-FR" w:eastAsia="ru-RU"/>
        </w:rPr>
        <w:t>).</w:t>
      </w:r>
    </w:p>
  </w:footnote>
  <w:footnote w:id="19">
    <w:p w:rsidR="002B216F" w:rsidRPr="002B216F" w:rsidRDefault="002B216F" w:rsidP="002B216F">
      <w:pPr>
        <w:pStyle w:val="aa"/>
        <w:spacing w:line="276" w:lineRule="auto"/>
        <w:rPr>
          <w:sz w:val="20"/>
        </w:rPr>
      </w:pPr>
      <w:r w:rsidRPr="002B216F">
        <w:rPr>
          <w:rStyle w:val="ac"/>
          <w:sz w:val="20"/>
        </w:rPr>
        <w:footnoteRef/>
      </w:r>
      <w:r w:rsidRPr="002B216F">
        <w:rPr>
          <w:sz w:val="20"/>
        </w:rPr>
        <w:t xml:space="preserve"> </w:t>
      </w:r>
      <w:r w:rsidRPr="002B216F">
        <w:rPr>
          <w:sz w:val="20"/>
          <w:lang w:eastAsia="ru-RU"/>
        </w:rPr>
        <w:t>«Пакет по товарным знакам», в том числе Регламент ЕС № 2015/2424, вносящий изменения в регламент ЕС № 207/2009, ставший Регламентом № 2017/1001, и Директива ЕС № 2015/2436.</w:t>
      </w:r>
    </w:p>
  </w:footnote>
  <w:footnote w:id="20">
    <w:p w:rsidR="002B216F" w:rsidRPr="002B216F" w:rsidRDefault="002B216F" w:rsidP="002B216F">
      <w:pPr>
        <w:pStyle w:val="aa"/>
        <w:spacing w:line="276" w:lineRule="auto"/>
        <w:rPr>
          <w:sz w:val="20"/>
        </w:rPr>
      </w:pPr>
      <w:r w:rsidRPr="002B216F">
        <w:rPr>
          <w:rStyle w:val="ac"/>
          <w:sz w:val="20"/>
        </w:rPr>
        <w:footnoteRef/>
      </w:r>
      <w:r w:rsidRPr="002B216F">
        <w:rPr>
          <w:sz w:val="20"/>
        </w:rPr>
        <w:t xml:space="preserve"> Однако есть мнение, что добавление «иной характеристики» будет скорее использовано для других нестандартных обозначений, у которых просто нет формы (звуковых): </w:t>
      </w:r>
      <w:r w:rsidRPr="002B216F">
        <w:rPr>
          <w:sz w:val="20"/>
          <w:lang w:val="en-US"/>
        </w:rPr>
        <w:t>L</w:t>
      </w:r>
      <w:r w:rsidRPr="002B216F">
        <w:rPr>
          <w:sz w:val="20"/>
        </w:rPr>
        <w:t xml:space="preserve">. </w:t>
      </w:r>
      <w:r w:rsidRPr="002B216F">
        <w:rPr>
          <w:sz w:val="20"/>
          <w:lang w:val="en-US"/>
        </w:rPr>
        <w:t>BENTLY</w:t>
      </w:r>
      <w:r w:rsidRPr="002B216F">
        <w:rPr>
          <w:sz w:val="20"/>
        </w:rPr>
        <w:t xml:space="preserve">, </w:t>
      </w:r>
      <w:r w:rsidRPr="002B216F">
        <w:rPr>
          <w:sz w:val="20"/>
          <w:lang w:val="en-US"/>
        </w:rPr>
        <w:t>B</w:t>
      </w:r>
      <w:r w:rsidRPr="002B216F">
        <w:rPr>
          <w:sz w:val="20"/>
        </w:rPr>
        <w:t xml:space="preserve">. </w:t>
      </w:r>
      <w:r w:rsidRPr="002B216F">
        <w:rPr>
          <w:sz w:val="20"/>
          <w:lang w:val="en-US"/>
        </w:rPr>
        <w:t>SHERMAN</w:t>
      </w:r>
      <w:r w:rsidRPr="002B216F">
        <w:rPr>
          <w:sz w:val="20"/>
        </w:rPr>
        <w:t xml:space="preserve">, </w:t>
      </w:r>
      <w:r w:rsidRPr="002B216F">
        <w:rPr>
          <w:sz w:val="20"/>
          <w:lang w:val="en-US"/>
        </w:rPr>
        <w:t>D</w:t>
      </w:r>
      <w:r w:rsidRPr="002B216F">
        <w:rPr>
          <w:sz w:val="20"/>
        </w:rPr>
        <w:t>. </w:t>
      </w:r>
      <w:r w:rsidRPr="002B216F">
        <w:rPr>
          <w:sz w:val="20"/>
          <w:lang w:val="en-US"/>
        </w:rPr>
        <w:t>GANGJEE</w:t>
      </w:r>
      <w:r w:rsidRPr="002B216F">
        <w:rPr>
          <w:sz w:val="20"/>
        </w:rPr>
        <w:t xml:space="preserve">, </w:t>
      </w:r>
      <w:r w:rsidRPr="002B216F">
        <w:rPr>
          <w:sz w:val="20"/>
          <w:lang w:val="en-US"/>
        </w:rPr>
        <w:t>P</w:t>
      </w:r>
      <w:r w:rsidRPr="002B216F">
        <w:rPr>
          <w:sz w:val="20"/>
        </w:rPr>
        <w:t xml:space="preserve">. </w:t>
      </w:r>
      <w:r w:rsidRPr="002B216F">
        <w:rPr>
          <w:sz w:val="20"/>
          <w:lang w:val="en-US"/>
        </w:rPr>
        <w:t>JOHNSON</w:t>
      </w:r>
      <w:r w:rsidRPr="002B216F">
        <w:rPr>
          <w:sz w:val="20"/>
        </w:rPr>
        <w:t xml:space="preserve">, </w:t>
      </w:r>
      <w:r w:rsidRPr="002B216F">
        <w:rPr>
          <w:i/>
          <w:sz w:val="20"/>
          <w:lang w:val="en-US"/>
        </w:rPr>
        <w:t>Intellectual</w:t>
      </w:r>
      <w:r w:rsidRPr="002B216F">
        <w:rPr>
          <w:i/>
          <w:sz w:val="20"/>
        </w:rPr>
        <w:t xml:space="preserve"> </w:t>
      </w:r>
      <w:r w:rsidRPr="002B216F">
        <w:rPr>
          <w:i/>
          <w:sz w:val="20"/>
          <w:lang w:val="en-US"/>
        </w:rPr>
        <w:t>Property</w:t>
      </w:r>
      <w:r w:rsidRPr="002B216F">
        <w:rPr>
          <w:i/>
          <w:sz w:val="20"/>
        </w:rPr>
        <w:t xml:space="preserve"> </w:t>
      </w:r>
      <w:r w:rsidRPr="002B216F">
        <w:rPr>
          <w:i/>
          <w:sz w:val="20"/>
          <w:lang w:val="en-US"/>
        </w:rPr>
        <w:t>Law</w:t>
      </w:r>
      <w:r w:rsidRPr="002B216F">
        <w:rPr>
          <w:sz w:val="20"/>
        </w:rPr>
        <w:t>, 5</w:t>
      </w:r>
      <w:proofErr w:type="spellStart"/>
      <w:r w:rsidRPr="002B216F">
        <w:rPr>
          <w:sz w:val="20"/>
          <w:lang w:val="en-US"/>
        </w:rPr>
        <w:t>th</w:t>
      </w:r>
      <w:proofErr w:type="spellEnd"/>
      <w:r w:rsidRPr="002B216F">
        <w:rPr>
          <w:sz w:val="20"/>
        </w:rPr>
        <w:t xml:space="preserve"> </w:t>
      </w:r>
      <w:proofErr w:type="spellStart"/>
      <w:r w:rsidRPr="002B216F">
        <w:rPr>
          <w:sz w:val="20"/>
          <w:lang w:val="en-US"/>
        </w:rPr>
        <w:t>ed</w:t>
      </w:r>
      <w:proofErr w:type="spellEnd"/>
      <w:r w:rsidRPr="002B216F">
        <w:rPr>
          <w:sz w:val="20"/>
        </w:rPr>
        <w:t xml:space="preserve">., </w:t>
      </w:r>
      <w:r w:rsidRPr="002B216F">
        <w:rPr>
          <w:sz w:val="20"/>
          <w:lang w:val="en-US"/>
        </w:rPr>
        <w:t>OUP</w:t>
      </w:r>
      <w:r w:rsidRPr="002B216F">
        <w:rPr>
          <w:sz w:val="20"/>
        </w:rPr>
        <w:t xml:space="preserve">, 2018, </w:t>
      </w:r>
      <w:r w:rsidRPr="002B216F">
        <w:rPr>
          <w:sz w:val="20"/>
          <w:lang w:val="en-US"/>
        </w:rPr>
        <w:t>p</w:t>
      </w:r>
      <w:r w:rsidRPr="002B216F">
        <w:rPr>
          <w:sz w:val="20"/>
        </w:rPr>
        <w:t>. 963–964.</w:t>
      </w:r>
    </w:p>
  </w:footnote>
  <w:footnote w:id="21">
    <w:p w:rsidR="002B216F" w:rsidRPr="002B216F" w:rsidRDefault="002B216F" w:rsidP="002B216F">
      <w:pPr>
        <w:pStyle w:val="aa"/>
        <w:spacing w:line="276" w:lineRule="auto"/>
        <w:rPr>
          <w:sz w:val="20"/>
          <w:lang w:val="en-US"/>
        </w:rPr>
      </w:pPr>
      <w:r w:rsidRPr="002B216F">
        <w:rPr>
          <w:rStyle w:val="ac"/>
          <w:sz w:val="20"/>
        </w:rPr>
        <w:footnoteRef/>
      </w:r>
      <w:r w:rsidRPr="002B216F">
        <w:rPr>
          <w:sz w:val="20"/>
          <w:lang w:val="en-US"/>
        </w:rPr>
        <w:t xml:space="preserve"> </w:t>
      </w:r>
      <w:r w:rsidRPr="002B216F">
        <w:rPr>
          <w:sz w:val="20"/>
        </w:rPr>
        <w:t>См</w:t>
      </w:r>
      <w:r w:rsidRPr="002B216F">
        <w:rPr>
          <w:sz w:val="20"/>
          <w:lang w:val="en-US"/>
        </w:rPr>
        <w:t xml:space="preserve">. A. KUR, «Too common, too splendid, or ‘just right’? Trademark protection for product shapes in the light of the CJEU Case Law”, </w:t>
      </w:r>
      <w:r w:rsidRPr="002B216F">
        <w:rPr>
          <w:i/>
          <w:sz w:val="20"/>
          <w:lang w:val="en-US"/>
        </w:rPr>
        <w:t>MPI for Innovation and Competition Research Paper</w:t>
      </w:r>
      <w:r w:rsidRPr="002B216F">
        <w:rPr>
          <w:sz w:val="20"/>
          <w:lang w:val="en-US"/>
        </w:rPr>
        <w:t xml:space="preserve"> n° 14-17, 2014.</w:t>
      </w:r>
    </w:p>
  </w:footnote>
  <w:footnote w:id="22">
    <w:p w:rsidR="002B216F" w:rsidRPr="002B216F" w:rsidRDefault="002B216F" w:rsidP="002B216F">
      <w:pPr>
        <w:pStyle w:val="aa"/>
        <w:spacing w:line="276" w:lineRule="auto"/>
        <w:rPr>
          <w:sz w:val="20"/>
        </w:rPr>
      </w:pPr>
      <w:r w:rsidRPr="002B216F">
        <w:rPr>
          <w:rStyle w:val="ac"/>
          <w:sz w:val="20"/>
        </w:rPr>
        <w:footnoteRef/>
      </w:r>
      <w:r w:rsidRPr="002B216F">
        <w:rPr>
          <w:sz w:val="20"/>
        </w:rPr>
        <w:t xml:space="preserve"> По данным исследователей, основанных на реестре Ведомстве ЕС, в 2020 году, в Ведомстве ЕС были зарегистрированы 344 объемных товарных знака, что составляет 0,24% от общего количества регистраций (145</w:t>
      </w:r>
      <w:r w:rsidRPr="002B216F">
        <w:rPr>
          <w:sz w:val="20"/>
          <w:lang w:val="en-US"/>
        </w:rPr>
        <w:t> </w:t>
      </w:r>
      <w:r w:rsidRPr="002B216F">
        <w:rPr>
          <w:sz w:val="20"/>
        </w:rPr>
        <w:t>355). С 1996 года были зарегистрированы 10</w:t>
      </w:r>
      <w:r w:rsidRPr="002B216F">
        <w:rPr>
          <w:sz w:val="20"/>
          <w:lang w:val="fr-FR"/>
        </w:rPr>
        <w:t> </w:t>
      </w:r>
      <w:r w:rsidRPr="002B216F">
        <w:rPr>
          <w:sz w:val="20"/>
        </w:rPr>
        <w:t>733</w:t>
      </w:r>
      <w:r w:rsidRPr="002B216F">
        <w:rPr>
          <w:sz w:val="20"/>
          <w:lang w:val="fr-FR"/>
        </w:rPr>
        <w:t> </w:t>
      </w:r>
      <w:r w:rsidRPr="002B216F">
        <w:rPr>
          <w:sz w:val="20"/>
        </w:rPr>
        <w:t>объемных товарных знака, т.е. 0,49 % от 2 200 786 всех товарных знаков. Таким обозначениям в три раза чаще отказывают в регистрации (</w:t>
      </w:r>
      <w:r w:rsidRPr="002B216F">
        <w:rPr>
          <w:sz w:val="20"/>
          <w:lang w:val="fr-FR"/>
        </w:rPr>
        <w:t>S</w:t>
      </w:r>
      <w:r w:rsidRPr="002B216F">
        <w:rPr>
          <w:sz w:val="20"/>
        </w:rPr>
        <w:t>. </w:t>
      </w:r>
      <w:r w:rsidRPr="002B216F">
        <w:rPr>
          <w:sz w:val="20"/>
          <w:lang w:val="fr-FR"/>
        </w:rPr>
        <w:t>CHATRY</w:t>
      </w:r>
      <w:r w:rsidRPr="002B216F">
        <w:rPr>
          <w:sz w:val="20"/>
        </w:rPr>
        <w:t xml:space="preserve">, </w:t>
      </w:r>
      <w:proofErr w:type="spellStart"/>
      <w:r w:rsidRPr="002B216F">
        <w:rPr>
          <w:sz w:val="20"/>
        </w:rPr>
        <w:t>ук</w:t>
      </w:r>
      <w:proofErr w:type="spellEnd"/>
      <w:r w:rsidRPr="002B216F">
        <w:rPr>
          <w:sz w:val="20"/>
        </w:rPr>
        <w:t>. соч., с. 15).</w:t>
      </w:r>
    </w:p>
  </w:footnote>
  <w:footnote w:id="23">
    <w:p w:rsidR="002B216F" w:rsidRPr="002B216F" w:rsidRDefault="002B216F" w:rsidP="002B216F">
      <w:pPr>
        <w:pStyle w:val="aa"/>
        <w:spacing w:line="276" w:lineRule="auto"/>
        <w:rPr>
          <w:sz w:val="20"/>
          <w:lang w:val="en-US"/>
        </w:rPr>
      </w:pPr>
      <w:r w:rsidRPr="002B216F">
        <w:rPr>
          <w:rStyle w:val="ac"/>
          <w:sz w:val="20"/>
        </w:rPr>
        <w:footnoteRef/>
      </w:r>
      <w:r w:rsidRPr="002B216F">
        <w:rPr>
          <w:sz w:val="20"/>
          <w:lang w:val="en-US"/>
        </w:rPr>
        <w:t xml:space="preserve"> A. KUR, Th. DREIER, St. LUGINBUEHL (ed.), </w:t>
      </w:r>
      <w:r w:rsidRPr="002B216F">
        <w:rPr>
          <w:i/>
          <w:sz w:val="20"/>
          <w:lang w:val="en-US"/>
        </w:rPr>
        <w:t>European Intellectual Property Law</w:t>
      </w:r>
      <w:r w:rsidRPr="002B216F">
        <w:rPr>
          <w:sz w:val="20"/>
          <w:lang w:val="en-US"/>
        </w:rPr>
        <w:t>, 2</w:t>
      </w:r>
      <w:r w:rsidRPr="002B216F">
        <w:rPr>
          <w:sz w:val="20"/>
          <w:vertAlign w:val="superscript"/>
          <w:lang w:val="en-US"/>
        </w:rPr>
        <w:t>nd</w:t>
      </w:r>
      <w:r w:rsidRPr="002B216F">
        <w:rPr>
          <w:sz w:val="20"/>
          <w:lang w:val="en-US"/>
        </w:rPr>
        <w:t xml:space="preserve"> ed., Edward Elgar, 2019, p. 215; A. FOLLIARD-MONGUIRAL, D. ROGERS, «The protection of shapes by the Community trade mark», EIPR, 2003, 25(4), 169-179; A. KUR, «Too common, too splendid, or ‘just right’? Trademark protection for product shapes in the light of the CJEU Case Law», </w:t>
      </w:r>
      <w:r w:rsidRPr="002B216F">
        <w:rPr>
          <w:i/>
          <w:sz w:val="20"/>
          <w:lang w:val="en-US"/>
        </w:rPr>
        <w:t>MPI for Innovation and Competition Research Paper</w:t>
      </w:r>
      <w:r w:rsidRPr="002B216F">
        <w:rPr>
          <w:sz w:val="20"/>
          <w:lang w:val="en-US"/>
        </w:rPr>
        <w:t xml:space="preserve"> n° 14-17, 2014.</w:t>
      </w:r>
    </w:p>
  </w:footnote>
  <w:footnote w:id="24">
    <w:p w:rsidR="002B216F" w:rsidRPr="002B216F" w:rsidRDefault="002B216F" w:rsidP="002B216F">
      <w:pPr>
        <w:pStyle w:val="aa"/>
        <w:spacing w:line="276" w:lineRule="auto"/>
        <w:rPr>
          <w:sz w:val="20"/>
          <w:lang w:val="en-US"/>
        </w:rPr>
      </w:pPr>
      <w:r w:rsidRPr="002B216F">
        <w:rPr>
          <w:rStyle w:val="ac"/>
          <w:sz w:val="20"/>
        </w:rPr>
        <w:footnoteRef/>
      </w:r>
      <w:r w:rsidRPr="002B216F">
        <w:rPr>
          <w:sz w:val="20"/>
          <w:lang w:val="en-US"/>
        </w:rPr>
        <w:t xml:space="preserve"> L. BENTLY, B. SHERMAN, D. GANGJEE, P. JOHNSON, </w:t>
      </w:r>
      <w:r w:rsidRPr="002B216F">
        <w:rPr>
          <w:i/>
          <w:sz w:val="20"/>
          <w:lang w:val="en-US"/>
        </w:rPr>
        <w:t>Intellectual Property Law</w:t>
      </w:r>
      <w:r w:rsidRPr="002B216F">
        <w:rPr>
          <w:sz w:val="20"/>
          <w:lang w:val="en-US"/>
        </w:rPr>
        <w:t xml:space="preserve">, 5th ed., OUP, 2018, p. 985-988. </w:t>
      </w:r>
    </w:p>
  </w:footnote>
  <w:footnote w:id="25">
    <w:p w:rsidR="002B216F" w:rsidRPr="002B216F" w:rsidRDefault="002B216F" w:rsidP="002B216F">
      <w:pPr>
        <w:pStyle w:val="aa"/>
        <w:spacing w:line="276" w:lineRule="auto"/>
        <w:rPr>
          <w:sz w:val="20"/>
          <w:lang w:val="fr-FR"/>
        </w:rPr>
      </w:pPr>
      <w:r w:rsidRPr="002B216F">
        <w:rPr>
          <w:rStyle w:val="ac"/>
          <w:sz w:val="20"/>
        </w:rPr>
        <w:footnoteRef/>
      </w:r>
      <w:r w:rsidRPr="002B216F">
        <w:rPr>
          <w:sz w:val="20"/>
          <w:lang w:val="fr-FR"/>
        </w:rPr>
        <w:t xml:space="preserve"> </w:t>
      </w:r>
      <w:r w:rsidRPr="002B216F">
        <w:rPr>
          <w:i/>
          <w:sz w:val="20"/>
          <w:lang w:val="fr-FR"/>
        </w:rPr>
        <w:t>Communication commune, Caractère distinctif des marques tridimensionnelles (marques de forme) contenant des éléments verbaux et/ou figuratifs lorsque la forme n’est pas distinctive en tant que telle</w:t>
      </w:r>
      <w:r w:rsidRPr="002B216F">
        <w:rPr>
          <w:sz w:val="20"/>
          <w:lang w:val="fr-FR"/>
        </w:rPr>
        <w:t>, avr.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B7" w:rsidRDefault="002C10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73837421"/>
      <w:docPartObj>
        <w:docPartGallery w:val="Page Numbers (Top of Page)"/>
        <w:docPartUnique/>
      </w:docPartObj>
    </w:sdtPr>
    <w:sdtContent>
      <w:p w:rsidR="002B216F" w:rsidRPr="002B216F" w:rsidRDefault="00C10171">
        <w:pPr>
          <w:pStyle w:val="a3"/>
          <w:jc w:val="center"/>
          <w:rPr>
            <w:rFonts w:ascii="Times New Roman" w:hAnsi="Times New Roman" w:cs="Times New Roman"/>
          </w:rPr>
        </w:pPr>
        <w:r w:rsidRPr="002B216F">
          <w:rPr>
            <w:rFonts w:ascii="Times New Roman" w:hAnsi="Times New Roman" w:cs="Times New Roman"/>
          </w:rPr>
          <w:fldChar w:fldCharType="begin"/>
        </w:r>
        <w:r w:rsidR="002B216F" w:rsidRPr="002B216F">
          <w:rPr>
            <w:rFonts w:ascii="Times New Roman" w:hAnsi="Times New Roman" w:cs="Times New Roman"/>
          </w:rPr>
          <w:instrText>PAGE   \* MERGEFORMAT</w:instrText>
        </w:r>
        <w:r w:rsidRPr="002B216F">
          <w:rPr>
            <w:rFonts w:ascii="Times New Roman" w:hAnsi="Times New Roman" w:cs="Times New Roman"/>
          </w:rPr>
          <w:fldChar w:fldCharType="separate"/>
        </w:r>
        <w:r w:rsidR="003278E8">
          <w:rPr>
            <w:rFonts w:ascii="Times New Roman" w:hAnsi="Times New Roman" w:cs="Times New Roman"/>
            <w:noProof/>
          </w:rPr>
          <w:t>19</w:t>
        </w:r>
        <w:r w:rsidRPr="002B216F">
          <w:rPr>
            <w:rFonts w:ascii="Times New Roman" w:hAnsi="Times New Roman" w:cs="Times New Roman"/>
          </w:rPr>
          <w:fldChar w:fldCharType="end"/>
        </w:r>
      </w:p>
    </w:sdtContent>
  </w:sdt>
  <w:p w:rsidR="002B216F" w:rsidRDefault="002B216F" w:rsidP="002B216F">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B7" w:rsidRDefault="002C10B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6F" w:rsidRDefault="002B216F">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6F" w:rsidRDefault="002B216F">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6F" w:rsidRDefault="002B21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3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A8289D"/>
    <w:multiLevelType w:val="multilevel"/>
    <w:tmpl w:val="DA4C11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DB27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A95B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FA7073"/>
    <w:multiLevelType w:val="multilevel"/>
    <w:tmpl w:val="AE7673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056B0C"/>
    <w:multiLevelType w:val="hybridMultilevel"/>
    <w:tmpl w:val="E8D492BA"/>
    <w:lvl w:ilvl="0" w:tplc="ADFC50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275F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A743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B56CC6"/>
    <w:multiLevelType w:val="hybridMultilevel"/>
    <w:tmpl w:val="AE72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F03CD"/>
    <w:multiLevelType w:val="hybridMultilevel"/>
    <w:tmpl w:val="068C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5001E"/>
    <w:multiLevelType w:val="hybridMultilevel"/>
    <w:tmpl w:val="49BE94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1073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A82288"/>
    <w:multiLevelType w:val="hybridMultilevel"/>
    <w:tmpl w:val="CF520D8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6F25B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1C7A7F"/>
    <w:multiLevelType w:val="hybridMultilevel"/>
    <w:tmpl w:val="F16A2A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19A0F17"/>
    <w:multiLevelType w:val="hybridMultilevel"/>
    <w:tmpl w:val="342CD21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764410B"/>
    <w:multiLevelType w:val="hybridMultilevel"/>
    <w:tmpl w:val="E402D1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7F562B2"/>
    <w:multiLevelType w:val="hybridMultilevel"/>
    <w:tmpl w:val="FD4CD598"/>
    <w:lvl w:ilvl="0" w:tplc="2AB6F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B205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586FC9"/>
    <w:multiLevelType w:val="hybridMultilevel"/>
    <w:tmpl w:val="8DACA4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65746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66306F"/>
    <w:multiLevelType w:val="hybridMultilevel"/>
    <w:tmpl w:val="B8BE05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591525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BE4AE0"/>
    <w:multiLevelType w:val="hybridMultilevel"/>
    <w:tmpl w:val="BA1067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2E2446"/>
    <w:multiLevelType w:val="multilevel"/>
    <w:tmpl w:val="E81E7EE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F523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C8E4764"/>
    <w:multiLevelType w:val="hybridMultilevel"/>
    <w:tmpl w:val="9446C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063E19"/>
    <w:multiLevelType w:val="hybridMultilevel"/>
    <w:tmpl w:val="1E7AA2C6"/>
    <w:lvl w:ilvl="0" w:tplc="89E6BD2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C056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EA2380"/>
    <w:multiLevelType w:val="hybridMultilevel"/>
    <w:tmpl w:val="AE4059F2"/>
    <w:lvl w:ilvl="0" w:tplc="74B8413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60059B"/>
    <w:multiLevelType w:val="hybridMultilevel"/>
    <w:tmpl w:val="5F000E2C"/>
    <w:lvl w:ilvl="0" w:tplc="0802A43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E55C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EAC6E44"/>
    <w:multiLevelType w:val="hybridMultilevel"/>
    <w:tmpl w:val="C6DE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7"/>
  </w:num>
  <w:num w:numId="3">
    <w:abstractNumId w:val="5"/>
  </w:num>
  <w:num w:numId="4">
    <w:abstractNumId w:val="17"/>
  </w:num>
  <w:num w:numId="5">
    <w:abstractNumId w:val="8"/>
  </w:num>
  <w:num w:numId="6">
    <w:abstractNumId w:val="23"/>
  </w:num>
  <w:num w:numId="7">
    <w:abstractNumId w:val="4"/>
  </w:num>
  <w:num w:numId="8">
    <w:abstractNumId w:val="6"/>
  </w:num>
  <w:num w:numId="9">
    <w:abstractNumId w:val="22"/>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6"/>
    <w:lvlOverride w:ilvl="0">
      <w:startOverride w:val="1"/>
    </w:lvlOverride>
  </w:num>
  <w:num w:numId="18">
    <w:abstractNumId w:val="16"/>
  </w:num>
  <w:num w:numId="19">
    <w:abstractNumId w:val="19"/>
  </w:num>
  <w:num w:numId="20">
    <w:abstractNumId w:val="21"/>
  </w:num>
  <w:num w:numId="21">
    <w:abstractNumId w:val="10"/>
  </w:num>
  <w:num w:numId="22">
    <w:abstractNumId w:val="14"/>
  </w:num>
  <w:num w:numId="23">
    <w:abstractNumId w:val="6"/>
    <w:lvlOverride w:ilvl="0">
      <w:startOverride w:val="1"/>
    </w:lvlOverride>
  </w:num>
  <w:num w:numId="24">
    <w:abstractNumId w:val="3"/>
  </w:num>
  <w:num w:numId="25">
    <w:abstractNumId w:val="13"/>
  </w:num>
  <w:num w:numId="26">
    <w:abstractNumId w:val="31"/>
  </w:num>
  <w:num w:numId="27">
    <w:abstractNumId w:val="2"/>
  </w:num>
  <w:num w:numId="28">
    <w:abstractNumId w:val="28"/>
  </w:num>
  <w:num w:numId="29">
    <w:abstractNumId w:val="18"/>
  </w:num>
  <w:num w:numId="30">
    <w:abstractNumId w:val="11"/>
  </w:num>
  <w:num w:numId="31">
    <w:abstractNumId w:val="15"/>
  </w:num>
  <w:num w:numId="32">
    <w:abstractNumId w:val="1"/>
  </w:num>
  <w:num w:numId="33">
    <w:abstractNumId w:val="0"/>
  </w:num>
  <w:num w:numId="34">
    <w:abstractNumId w:val="25"/>
  </w:num>
  <w:num w:numId="35">
    <w:abstractNumId w:val="7"/>
  </w:num>
  <w:num w:numId="36">
    <w:abstractNumId w:val="24"/>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9"/>
  </w:num>
  <w:num w:numId="41">
    <w:abstractNumId w:val="30"/>
  </w:num>
  <w:num w:numId="42">
    <w:abstractNumId w:val="26"/>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footnotePr>
    <w:footnote w:id="-1"/>
    <w:footnote w:id="0"/>
  </w:footnotePr>
  <w:endnotePr>
    <w:endnote w:id="-1"/>
    <w:endnote w:id="0"/>
  </w:endnotePr>
  <w:compat/>
  <w:rsids>
    <w:rsidRoot w:val="00FA1C28"/>
    <w:rsid w:val="00024E66"/>
    <w:rsid w:val="0004227A"/>
    <w:rsid w:val="000A1774"/>
    <w:rsid w:val="000E6763"/>
    <w:rsid w:val="00132C7B"/>
    <w:rsid w:val="00152FC6"/>
    <w:rsid w:val="00155011"/>
    <w:rsid w:val="001570FD"/>
    <w:rsid w:val="00191220"/>
    <w:rsid w:val="001A479E"/>
    <w:rsid w:val="001C7759"/>
    <w:rsid w:val="001E3DE7"/>
    <w:rsid w:val="002B216F"/>
    <w:rsid w:val="002C10B7"/>
    <w:rsid w:val="00305039"/>
    <w:rsid w:val="003278E8"/>
    <w:rsid w:val="00347CD6"/>
    <w:rsid w:val="00353FD5"/>
    <w:rsid w:val="0037703F"/>
    <w:rsid w:val="003A5F76"/>
    <w:rsid w:val="003F7E3C"/>
    <w:rsid w:val="0042529F"/>
    <w:rsid w:val="00451666"/>
    <w:rsid w:val="00475708"/>
    <w:rsid w:val="004A1339"/>
    <w:rsid w:val="004B331F"/>
    <w:rsid w:val="0052618F"/>
    <w:rsid w:val="0056231D"/>
    <w:rsid w:val="00583696"/>
    <w:rsid w:val="00590EF3"/>
    <w:rsid w:val="006133E6"/>
    <w:rsid w:val="006140E2"/>
    <w:rsid w:val="006178C8"/>
    <w:rsid w:val="006336FF"/>
    <w:rsid w:val="006442A2"/>
    <w:rsid w:val="00693BB6"/>
    <w:rsid w:val="0083381D"/>
    <w:rsid w:val="00857513"/>
    <w:rsid w:val="00937E60"/>
    <w:rsid w:val="00985886"/>
    <w:rsid w:val="00A854BE"/>
    <w:rsid w:val="00AE706F"/>
    <w:rsid w:val="00B54E8A"/>
    <w:rsid w:val="00BE56D6"/>
    <w:rsid w:val="00C02BA5"/>
    <w:rsid w:val="00C10171"/>
    <w:rsid w:val="00CA21A7"/>
    <w:rsid w:val="00CC5D02"/>
    <w:rsid w:val="00D72ABC"/>
    <w:rsid w:val="00D93FAA"/>
    <w:rsid w:val="00DF3217"/>
    <w:rsid w:val="00E8323B"/>
    <w:rsid w:val="00E96AB6"/>
    <w:rsid w:val="00F93F00"/>
    <w:rsid w:val="00FA1C28"/>
    <w:rsid w:val="00FE2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Прямая со стрелкой 18"/>
        <o:r id="V:Rule2" type="connector" idref="#Прямая со стрелкой 19"/>
        <o:r id="V:Rule3" type="connector" idref="#Прямая со стрелкой 20"/>
        <o:r id="V:Rule4"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71"/>
  </w:style>
  <w:style w:type="paragraph" w:styleId="1">
    <w:name w:val="heading 1"/>
    <w:basedOn w:val="a"/>
    <w:next w:val="a"/>
    <w:link w:val="10"/>
    <w:uiPriority w:val="9"/>
    <w:qFormat/>
    <w:rsid w:val="00451666"/>
    <w:pPr>
      <w:keepNext/>
      <w:keepLines/>
      <w:numPr>
        <w:numId w:val="36"/>
      </w:numPr>
      <w:spacing w:before="480" w:after="0"/>
      <w:jc w:val="both"/>
      <w:outlineLvl w:val="0"/>
    </w:pPr>
    <w:rPr>
      <w:rFonts w:ascii="Times New Roman" w:eastAsiaTheme="majorEastAsia" w:hAnsi="Times New Roman" w:cs="Times New Roman"/>
      <w:b/>
      <w:bCs/>
      <w:color w:val="000000" w:themeColor="text1"/>
      <w:sz w:val="28"/>
      <w:szCs w:val="28"/>
    </w:rPr>
  </w:style>
  <w:style w:type="paragraph" w:styleId="2">
    <w:name w:val="heading 2"/>
    <w:basedOn w:val="a"/>
    <w:next w:val="a"/>
    <w:link w:val="20"/>
    <w:uiPriority w:val="9"/>
    <w:unhideWhenUsed/>
    <w:qFormat/>
    <w:rsid w:val="00451666"/>
    <w:pPr>
      <w:keepNext/>
      <w:keepLines/>
      <w:numPr>
        <w:ilvl w:val="1"/>
        <w:numId w:val="36"/>
      </w:numPr>
      <w:spacing w:before="200" w:after="240"/>
      <w:jc w:val="both"/>
      <w:outlineLvl w:val="1"/>
    </w:pPr>
    <w:rPr>
      <w:rFonts w:ascii="Times New Roman" w:eastAsiaTheme="majorEastAsia" w:hAnsi="Times New Roman" w:cs="Times New Roman"/>
      <w:b/>
      <w:bCs/>
      <w:color w:val="000000" w:themeColor="text1"/>
      <w:sz w:val="26"/>
      <w:szCs w:val="26"/>
    </w:rPr>
  </w:style>
  <w:style w:type="paragraph" w:styleId="3">
    <w:name w:val="heading 3"/>
    <w:basedOn w:val="2"/>
    <w:next w:val="a"/>
    <w:link w:val="30"/>
    <w:uiPriority w:val="9"/>
    <w:unhideWhenUsed/>
    <w:qFormat/>
    <w:rsid w:val="00451666"/>
    <w:pPr>
      <w:numPr>
        <w:ilvl w:val="2"/>
      </w:numPr>
      <w:outlineLvl w:val="2"/>
    </w:pPr>
  </w:style>
  <w:style w:type="paragraph" w:styleId="4">
    <w:name w:val="heading 4"/>
    <w:basedOn w:val="a"/>
    <w:next w:val="a"/>
    <w:link w:val="40"/>
    <w:uiPriority w:val="9"/>
    <w:unhideWhenUsed/>
    <w:qFormat/>
    <w:rsid w:val="00451666"/>
    <w:pPr>
      <w:keepNext/>
      <w:keepLines/>
      <w:spacing w:before="200" w:after="240"/>
      <w:jc w:val="both"/>
      <w:outlineLvl w:val="3"/>
    </w:pPr>
    <w:rPr>
      <w:rFonts w:ascii="Times New Roman" w:eastAsiaTheme="majorEastAsia"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0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5011"/>
  </w:style>
  <w:style w:type="paragraph" w:styleId="a5">
    <w:name w:val="footer"/>
    <w:basedOn w:val="a"/>
    <w:link w:val="a6"/>
    <w:uiPriority w:val="99"/>
    <w:unhideWhenUsed/>
    <w:rsid w:val="001550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5011"/>
  </w:style>
  <w:style w:type="character" w:customStyle="1" w:styleId="10">
    <w:name w:val="Заголовок 1 Знак"/>
    <w:basedOn w:val="a0"/>
    <w:link w:val="1"/>
    <w:uiPriority w:val="9"/>
    <w:rsid w:val="00451666"/>
    <w:rPr>
      <w:rFonts w:ascii="Times New Roman" w:eastAsiaTheme="majorEastAsia" w:hAnsi="Times New Roman" w:cs="Times New Roman"/>
      <w:b/>
      <w:bCs/>
      <w:color w:val="000000" w:themeColor="text1"/>
      <w:sz w:val="28"/>
      <w:szCs w:val="28"/>
    </w:rPr>
  </w:style>
  <w:style w:type="character" w:customStyle="1" w:styleId="20">
    <w:name w:val="Заголовок 2 Знак"/>
    <w:basedOn w:val="a0"/>
    <w:link w:val="2"/>
    <w:uiPriority w:val="9"/>
    <w:rsid w:val="00451666"/>
    <w:rPr>
      <w:rFonts w:ascii="Times New Roman" w:eastAsiaTheme="majorEastAsia" w:hAnsi="Times New Roman" w:cs="Times New Roman"/>
      <w:b/>
      <w:bCs/>
      <w:color w:val="000000" w:themeColor="text1"/>
      <w:sz w:val="26"/>
      <w:szCs w:val="26"/>
    </w:rPr>
  </w:style>
  <w:style w:type="character" w:customStyle="1" w:styleId="30">
    <w:name w:val="Заголовок 3 Знак"/>
    <w:basedOn w:val="a0"/>
    <w:link w:val="3"/>
    <w:uiPriority w:val="9"/>
    <w:rsid w:val="00451666"/>
    <w:rPr>
      <w:rFonts w:ascii="Times New Roman" w:eastAsiaTheme="majorEastAsia" w:hAnsi="Times New Roman" w:cs="Times New Roman"/>
      <w:b/>
      <w:bCs/>
      <w:color w:val="000000" w:themeColor="text1"/>
      <w:sz w:val="26"/>
      <w:szCs w:val="26"/>
    </w:rPr>
  </w:style>
  <w:style w:type="character" w:customStyle="1" w:styleId="40">
    <w:name w:val="Заголовок 4 Знак"/>
    <w:basedOn w:val="a0"/>
    <w:link w:val="4"/>
    <w:uiPriority w:val="9"/>
    <w:rsid w:val="00451666"/>
    <w:rPr>
      <w:rFonts w:ascii="Times New Roman" w:eastAsiaTheme="majorEastAsia" w:hAnsi="Times New Roman" w:cs="Times New Roman"/>
      <w:b/>
      <w:bCs/>
      <w:i/>
      <w:iCs/>
      <w:sz w:val="24"/>
      <w:szCs w:val="24"/>
    </w:rPr>
  </w:style>
  <w:style w:type="paragraph" w:styleId="a7">
    <w:name w:val="Balloon Text"/>
    <w:basedOn w:val="a"/>
    <w:link w:val="a8"/>
    <w:uiPriority w:val="99"/>
    <w:semiHidden/>
    <w:unhideWhenUsed/>
    <w:rsid w:val="00451666"/>
    <w:pPr>
      <w:spacing w:after="0" w:line="240" w:lineRule="auto"/>
      <w:jc w:val="both"/>
    </w:pPr>
    <w:rPr>
      <w:rFonts w:ascii="Tahoma" w:hAnsi="Tahoma" w:cs="Tahoma"/>
      <w:color w:val="000000" w:themeColor="text1"/>
      <w:sz w:val="16"/>
      <w:szCs w:val="16"/>
    </w:rPr>
  </w:style>
  <w:style w:type="character" w:customStyle="1" w:styleId="a8">
    <w:name w:val="Текст выноски Знак"/>
    <w:basedOn w:val="a0"/>
    <w:link w:val="a7"/>
    <w:uiPriority w:val="99"/>
    <w:semiHidden/>
    <w:rsid w:val="00451666"/>
    <w:rPr>
      <w:rFonts w:ascii="Tahoma" w:hAnsi="Tahoma" w:cs="Tahoma"/>
      <w:color w:val="000000" w:themeColor="text1"/>
      <w:sz w:val="16"/>
      <w:szCs w:val="16"/>
    </w:rPr>
  </w:style>
  <w:style w:type="paragraph" w:customStyle="1" w:styleId="ConsPlusNormal">
    <w:name w:val="ConsPlusNormal"/>
    <w:rsid w:val="00451666"/>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451666"/>
    <w:pPr>
      <w:ind w:left="720"/>
      <w:contextualSpacing/>
      <w:jc w:val="both"/>
    </w:pPr>
    <w:rPr>
      <w:rFonts w:ascii="Times New Roman" w:hAnsi="Times New Roman" w:cs="Times New Roman"/>
      <w:color w:val="000000" w:themeColor="text1"/>
      <w:sz w:val="20"/>
      <w:szCs w:val="20"/>
    </w:rPr>
  </w:style>
  <w:style w:type="paragraph" w:styleId="aa">
    <w:name w:val="footnote text"/>
    <w:basedOn w:val="a"/>
    <w:link w:val="ab"/>
    <w:uiPriority w:val="99"/>
    <w:unhideWhenUsed/>
    <w:rsid w:val="00451666"/>
    <w:pPr>
      <w:spacing w:after="0" w:line="240" w:lineRule="auto"/>
      <w:jc w:val="both"/>
    </w:pPr>
    <w:rPr>
      <w:rFonts w:ascii="Times New Roman" w:hAnsi="Times New Roman" w:cs="Times New Roman"/>
      <w:color w:val="000000" w:themeColor="text1"/>
      <w:sz w:val="16"/>
      <w:szCs w:val="20"/>
    </w:rPr>
  </w:style>
  <w:style w:type="character" w:customStyle="1" w:styleId="ab">
    <w:name w:val="Текст сноски Знак"/>
    <w:basedOn w:val="a0"/>
    <w:link w:val="aa"/>
    <w:uiPriority w:val="99"/>
    <w:rsid w:val="00451666"/>
    <w:rPr>
      <w:rFonts w:ascii="Times New Roman" w:hAnsi="Times New Roman" w:cs="Times New Roman"/>
      <w:color w:val="000000" w:themeColor="text1"/>
      <w:sz w:val="16"/>
      <w:szCs w:val="20"/>
    </w:rPr>
  </w:style>
  <w:style w:type="character" w:styleId="ac">
    <w:name w:val="footnote reference"/>
    <w:basedOn w:val="a0"/>
    <w:uiPriority w:val="99"/>
    <w:semiHidden/>
    <w:unhideWhenUsed/>
    <w:rsid w:val="00451666"/>
    <w:rPr>
      <w:vertAlign w:val="superscript"/>
    </w:rPr>
  </w:style>
  <w:style w:type="paragraph" w:styleId="ad">
    <w:name w:val="Normal (Web)"/>
    <w:basedOn w:val="a"/>
    <w:uiPriority w:val="99"/>
    <w:unhideWhenUsed/>
    <w:rsid w:val="00451666"/>
    <w:pPr>
      <w:spacing w:before="100" w:beforeAutospacing="1" w:after="100" w:afterAutospacing="1" w:line="240" w:lineRule="auto"/>
      <w:jc w:val="both"/>
    </w:pPr>
    <w:rPr>
      <w:rFonts w:ascii="Times New Roman" w:eastAsia="Times New Roman" w:hAnsi="Times New Roman" w:cs="Times New Roman"/>
      <w:color w:val="000000" w:themeColor="text1"/>
      <w:sz w:val="24"/>
      <w:szCs w:val="24"/>
      <w:lang w:eastAsia="ru-RU"/>
    </w:rPr>
  </w:style>
  <w:style w:type="character" w:styleId="ae">
    <w:name w:val="Emphasis"/>
    <w:basedOn w:val="a0"/>
    <w:uiPriority w:val="20"/>
    <w:qFormat/>
    <w:rsid w:val="00451666"/>
    <w:rPr>
      <w:i/>
      <w:iCs/>
    </w:rPr>
  </w:style>
  <w:style w:type="character" w:styleId="af">
    <w:name w:val="annotation reference"/>
    <w:basedOn w:val="a0"/>
    <w:uiPriority w:val="99"/>
    <w:semiHidden/>
    <w:unhideWhenUsed/>
    <w:rsid w:val="00451666"/>
    <w:rPr>
      <w:sz w:val="16"/>
      <w:szCs w:val="16"/>
    </w:rPr>
  </w:style>
  <w:style w:type="paragraph" w:styleId="af0">
    <w:name w:val="annotation text"/>
    <w:basedOn w:val="a"/>
    <w:link w:val="af1"/>
    <w:uiPriority w:val="99"/>
    <w:unhideWhenUsed/>
    <w:rsid w:val="00451666"/>
    <w:pPr>
      <w:spacing w:line="240" w:lineRule="auto"/>
      <w:jc w:val="both"/>
    </w:pPr>
    <w:rPr>
      <w:rFonts w:ascii="Times New Roman" w:hAnsi="Times New Roman" w:cs="Times New Roman"/>
      <w:color w:val="000000" w:themeColor="text1"/>
      <w:sz w:val="20"/>
      <w:szCs w:val="20"/>
    </w:rPr>
  </w:style>
  <w:style w:type="character" w:customStyle="1" w:styleId="af1">
    <w:name w:val="Текст примечания Знак"/>
    <w:basedOn w:val="a0"/>
    <w:link w:val="af0"/>
    <w:uiPriority w:val="99"/>
    <w:rsid w:val="00451666"/>
    <w:rPr>
      <w:rFonts w:ascii="Times New Roman" w:hAnsi="Times New Roman" w:cs="Times New Roman"/>
      <w:color w:val="000000" w:themeColor="text1"/>
      <w:sz w:val="20"/>
      <w:szCs w:val="20"/>
    </w:rPr>
  </w:style>
  <w:style w:type="paragraph" w:styleId="af2">
    <w:name w:val="annotation subject"/>
    <w:basedOn w:val="af0"/>
    <w:next w:val="af0"/>
    <w:link w:val="af3"/>
    <w:uiPriority w:val="99"/>
    <w:semiHidden/>
    <w:unhideWhenUsed/>
    <w:rsid w:val="00451666"/>
    <w:rPr>
      <w:b/>
      <w:bCs/>
    </w:rPr>
  </w:style>
  <w:style w:type="character" w:customStyle="1" w:styleId="af3">
    <w:name w:val="Тема примечания Знак"/>
    <w:basedOn w:val="af1"/>
    <w:link w:val="af2"/>
    <w:uiPriority w:val="99"/>
    <w:semiHidden/>
    <w:rsid w:val="00451666"/>
    <w:rPr>
      <w:rFonts w:ascii="Times New Roman" w:hAnsi="Times New Roman" w:cs="Times New Roman"/>
      <w:b/>
      <w:bCs/>
      <w:color w:val="000000" w:themeColor="text1"/>
      <w:sz w:val="20"/>
      <w:szCs w:val="20"/>
    </w:rPr>
  </w:style>
  <w:style w:type="table" w:styleId="af4">
    <w:name w:val="Table Grid"/>
    <w:basedOn w:val="a1"/>
    <w:uiPriority w:val="59"/>
    <w:rsid w:val="00451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451666"/>
    <w:rPr>
      <w:color w:val="0000FF"/>
      <w:u w:val="single"/>
    </w:rPr>
  </w:style>
  <w:style w:type="paragraph" w:styleId="af6">
    <w:name w:val="Subtitle"/>
    <w:basedOn w:val="a"/>
    <w:next w:val="a"/>
    <w:link w:val="af7"/>
    <w:uiPriority w:val="11"/>
    <w:qFormat/>
    <w:rsid w:val="00451666"/>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451666"/>
    <w:rPr>
      <w:rFonts w:asciiTheme="majorHAnsi" w:eastAsiaTheme="majorEastAsia" w:hAnsiTheme="majorHAnsi" w:cstheme="majorBidi"/>
      <w:i/>
      <w:iCs/>
      <w:color w:val="4F81BD" w:themeColor="accent1"/>
      <w:spacing w:val="15"/>
      <w:sz w:val="24"/>
      <w:szCs w:val="24"/>
    </w:rPr>
  </w:style>
  <w:style w:type="paragraph" w:styleId="af8">
    <w:name w:val="TOC Heading"/>
    <w:basedOn w:val="1"/>
    <w:next w:val="a"/>
    <w:uiPriority w:val="39"/>
    <w:semiHidden/>
    <w:unhideWhenUsed/>
    <w:qFormat/>
    <w:rsid w:val="00451666"/>
    <w:pPr>
      <w:numPr>
        <w:numId w:val="0"/>
      </w:numPr>
      <w:outlineLvl w:val="9"/>
    </w:pPr>
    <w:rPr>
      <w:rFonts w:asciiTheme="majorHAnsi" w:hAnsiTheme="majorHAnsi" w:cstheme="majorBidi"/>
      <w:color w:val="365F91" w:themeColor="accent1" w:themeShade="BF"/>
      <w:lang w:eastAsia="ru-RU"/>
    </w:rPr>
  </w:style>
  <w:style w:type="paragraph" w:styleId="21">
    <w:name w:val="toc 2"/>
    <w:basedOn w:val="a"/>
    <w:next w:val="a"/>
    <w:autoRedefine/>
    <w:uiPriority w:val="39"/>
    <w:unhideWhenUsed/>
    <w:rsid w:val="00451666"/>
    <w:pPr>
      <w:spacing w:after="100"/>
      <w:ind w:left="220"/>
      <w:jc w:val="both"/>
    </w:pPr>
    <w:rPr>
      <w:rFonts w:ascii="Times New Roman" w:hAnsi="Times New Roman" w:cs="Times New Roman"/>
      <w:color w:val="000000" w:themeColor="text1"/>
      <w:sz w:val="20"/>
      <w:szCs w:val="20"/>
    </w:rPr>
  </w:style>
  <w:style w:type="paragraph" w:styleId="31">
    <w:name w:val="toc 3"/>
    <w:basedOn w:val="a"/>
    <w:next w:val="a"/>
    <w:autoRedefine/>
    <w:uiPriority w:val="39"/>
    <w:unhideWhenUsed/>
    <w:rsid w:val="00451666"/>
    <w:pPr>
      <w:spacing w:after="100"/>
      <w:ind w:left="440"/>
      <w:jc w:val="both"/>
    </w:pPr>
    <w:rPr>
      <w:rFonts w:ascii="Times New Roman" w:hAnsi="Times New Roman" w:cs="Times New Roman"/>
      <w:color w:val="000000" w:themeColor="text1"/>
      <w:sz w:val="20"/>
      <w:szCs w:val="20"/>
    </w:rPr>
  </w:style>
  <w:style w:type="paragraph" w:styleId="af9">
    <w:name w:val="Revision"/>
    <w:hidden/>
    <w:uiPriority w:val="99"/>
    <w:semiHidden/>
    <w:rsid w:val="00451666"/>
    <w:pPr>
      <w:spacing w:after="0" w:line="240" w:lineRule="auto"/>
    </w:pPr>
    <w:rPr>
      <w:rFonts w:ascii="Times New Roman" w:hAnsi="Times New Roman" w:cs="Times New Roman"/>
      <w:color w:val="000000" w:themeColor="text1"/>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owa.arbitr.ru/owa/redir.aspx?C=EqXoeRIrIGyWSTmr_nXHD7oqeadMo4SQvCAAEWWHhV05-GX011DZCA..&amp;URL=mailto%3asip.nks%40arbitr.ru" TargetMode="Externa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5155</Words>
  <Characters>29385</Characters>
  <Application>Microsoft Office Word</Application>
  <DocSecurity>4</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Капырина Наталья Игоревна</dc:creator>
  <cp:lastModifiedBy>li_evgeniya</cp:lastModifiedBy>
  <cp:revision>2</cp:revision>
  <cp:lastPrinted>2021-07-28T11:40:00Z</cp:lastPrinted>
  <dcterms:created xsi:type="dcterms:W3CDTF">2021-07-29T19:10:00Z</dcterms:created>
  <dcterms:modified xsi:type="dcterms:W3CDTF">2021-07-29T19:10:00Z</dcterms:modified>
</cp:coreProperties>
</file>